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17859" w14:textId="7C576119" w:rsidR="00066553" w:rsidRPr="00CD49A9" w:rsidRDefault="00CD49A9">
      <w:pPr>
        <w:rPr>
          <w:b/>
          <w:sz w:val="36"/>
          <w:lang w:val="en-AU"/>
        </w:rPr>
      </w:pPr>
      <w:r w:rsidRPr="00CD49A9">
        <w:rPr>
          <w:b/>
          <w:sz w:val="36"/>
          <w:lang w:val="en-AU"/>
        </w:rPr>
        <w:t>Conflict of Interest Policy</w:t>
      </w:r>
    </w:p>
    <w:p w14:paraId="14F0FE45" w14:textId="77777777" w:rsidR="00CD49A9" w:rsidRDefault="00CD49A9">
      <w:pPr>
        <w:rPr>
          <w:lang w:val="en-AU"/>
        </w:rPr>
      </w:pPr>
    </w:p>
    <w:tbl>
      <w:tblPr>
        <w:tblStyle w:val="TableGrid"/>
        <w:tblW w:w="0" w:type="auto"/>
        <w:tblLook w:val="04A0" w:firstRow="1" w:lastRow="0" w:firstColumn="1" w:lastColumn="0" w:noHBand="0" w:noVBand="1"/>
      </w:tblPr>
      <w:tblGrid>
        <w:gridCol w:w="2405"/>
        <w:gridCol w:w="6605"/>
      </w:tblGrid>
      <w:tr w:rsidR="00CD49A9" w14:paraId="22FBD921" w14:textId="77777777" w:rsidTr="00CD49A9">
        <w:tc>
          <w:tcPr>
            <w:tcW w:w="2405" w:type="dxa"/>
          </w:tcPr>
          <w:p w14:paraId="266B6BF5" w14:textId="60A5CAD6" w:rsidR="00CD49A9" w:rsidRPr="00CD49A9" w:rsidRDefault="00CD49A9">
            <w:pPr>
              <w:rPr>
                <w:b/>
                <w:lang w:val="en-AU"/>
              </w:rPr>
            </w:pPr>
            <w:r w:rsidRPr="00CD49A9">
              <w:rPr>
                <w:b/>
                <w:lang w:val="en-AU"/>
              </w:rPr>
              <w:t>Authorised By:</w:t>
            </w:r>
          </w:p>
        </w:tc>
        <w:tc>
          <w:tcPr>
            <w:tcW w:w="6605" w:type="dxa"/>
          </w:tcPr>
          <w:p w14:paraId="0219631C" w14:textId="77777777" w:rsidR="00CD49A9" w:rsidRDefault="00CD49A9">
            <w:pPr>
              <w:rPr>
                <w:lang w:val="en-AU"/>
              </w:rPr>
            </w:pPr>
          </w:p>
        </w:tc>
      </w:tr>
      <w:tr w:rsidR="00CD49A9" w14:paraId="56BBF99C" w14:textId="77777777" w:rsidTr="00CD49A9">
        <w:tc>
          <w:tcPr>
            <w:tcW w:w="2405" w:type="dxa"/>
          </w:tcPr>
          <w:p w14:paraId="32C5840F" w14:textId="5363517A" w:rsidR="00CD49A9" w:rsidRPr="00CD49A9" w:rsidRDefault="00CD49A9">
            <w:pPr>
              <w:rPr>
                <w:b/>
                <w:lang w:val="en-AU"/>
              </w:rPr>
            </w:pPr>
            <w:r w:rsidRPr="00CD49A9">
              <w:rPr>
                <w:b/>
                <w:lang w:val="en-AU"/>
              </w:rPr>
              <w:t>Prepared By:</w:t>
            </w:r>
          </w:p>
        </w:tc>
        <w:tc>
          <w:tcPr>
            <w:tcW w:w="6605" w:type="dxa"/>
          </w:tcPr>
          <w:p w14:paraId="5E67FF5A" w14:textId="77777777" w:rsidR="00CD49A9" w:rsidRDefault="00CD49A9">
            <w:pPr>
              <w:rPr>
                <w:lang w:val="en-AU"/>
              </w:rPr>
            </w:pPr>
          </w:p>
        </w:tc>
      </w:tr>
      <w:tr w:rsidR="00CD49A9" w14:paraId="7E03737A" w14:textId="77777777" w:rsidTr="00CD49A9">
        <w:tc>
          <w:tcPr>
            <w:tcW w:w="2405" w:type="dxa"/>
          </w:tcPr>
          <w:p w14:paraId="0463AE51" w14:textId="24399814" w:rsidR="00CD49A9" w:rsidRPr="00CD49A9" w:rsidRDefault="00CD49A9">
            <w:pPr>
              <w:rPr>
                <w:b/>
                <w:lang w:val="en-AU"/>
              </w:rPr>
            </w:pPr>
            <w:r w:rsidRPr="00CD49A9">
              <w:rPr>
                <w:b/>
                <w:lang w:val="en-AU"/>
              </w:rPr>
              <w:t>Issue Date:</w:t>
            </w:r>
          </w:p>
        </w:tc>
        <w:tc>
          <w:tcPr>
            <w:tcW w:w="6605" w:type="dxa"/>
          </w:tcPr>
          <w:p w14:paraId="7F230854" w14:textId="77777777" w:rsidR="00CD49A9" w:rsidRDefault="00CD49A9">
            <w:pPr>
              <w:rPr>
                <w:lang w:val="en-AU"/>
              </w:rPr>
            </w:pPr>
          </w:p>
        </w:tc>
      </w:tr>
      <w:tr w:rsidR="00CD49A9" w14:paraId="1878C08B" w14:textId="77777777" w:rsidTr="00CD49A9">
        <w:tc>
          <w:tcPr>
            <w:tcW w:w="2405" w:type="dxa"/>
          </w:tcPr>
          <w:p w14:paraId="6571FDFD" w14:textId="508BFA2D" w:rsidR="00CD49A9" w:rsidRPr="00CD49A9" w:rsidRDefault="00CD49A9">
            <w:pPr>
              <w:rPr>
                <w:b/>
                <w:lang w:val="en-AU"/>
              </w:rPr>
            </w:pPr>
            <w:r w:rsidRPr="00CD49A9">
              <w:rPr>
                <w:b/>
                <w:lang w:val="en-AU"/>
              </w:rPr>
              <w:t>Review Date:</w:t>
            </w:r>
          </w:p>
        </w:tc>
        <w:tc>
          <w:tcPr>
            <w:tcW w:w="6605" w:type="dxa"/>
          </w:tcPr>
          <w:p w14:paraId="6129B7B0" w14:textId="77777777" w:rsidR="00CD49A9" w:rsidRDefault="00CD49A9">
            <w:pPr>
              <w:rPr>
                <w:lang w:val="en-AU"/>
              </w:rPr>
            </w:pPr>
          </w:p>
        </w:tc>
      </w:tr>
      <w:tr w:rsidR="00CD49A9" w14:paraId="77966B78" w14:textId="77777777" w:rsidTr="00CD49A9">
        <w:tc>
          <w:tcPr>
            <w:tcW w:w="2405" w:type="dxa"/>
          </w:tcPr>
          <w:p w14:paraId="6B7F53A9" w14:textId="2509720E" w:rsidR="00CD49A9" w:rsidRPr="00CD49A9" w:rsidRDefault="00CD49A9">
            <w:pPr>
              <w:rPr>
                <w:b/>
                <w:lang w:val="en-AU"/>
              </w:rPr>
            </w:pPr>
            <w:r w:rsidRPr="00CD49A9">
              <w:rPr>
                <w:b/>
                <w:lang w:val="en-AU"/>
              </w:rPr>
              <w:t>Version:</w:t>
            </w:r>
          </w:p>
        </w:tc>
        <w:tc>
          <w:tcPr>
            <w:tcW w:w="6605" w:type="dxa"/>
          </w:tcPr>
          <w:p w14:paraId="0EB958F5" w14:textId="77777777" w:rsidR="00CD49A9" w:rsidRDefault="00CD49A9">
            <w:pPr>
              <w:rPr>
                <w:lang w:val="en-AU"/>
              </w:rPr>
            </w:pPr>
          </w:p>
        </w:tc>
      </w:tr>
    </w:tbl>
    <w:p w14:paraId="3F34F996" w14:textId="77777777" w:rsidR="00CD49A9" w:rsidRDefault="00CD49A9">
      <w:pPr>
        <w:rPr>
          <w:lang w:val="en-AU"/>
        </w:rPr>
      </w:pPr>
    </w:p>
    <w:tbl>
      <w:tblPr>
        <w:tblStyle w:val="TableGrid"/>
        <w:tblW w:w="0" w:type="auto"/>
        <w:tblLook w:val="04A0" w:firstRow="1" w:lastRow="0" w:firstColumn="1" w:lastColumn="0" w:noHBand="0" w:noVBand="1"/>
      </w:tblPr>
      <w:tblGrid>
        <w:gridCol w:w="2405"/>
        <w:gridCol w:w="6605"/>
      </w:tblGrid>
      <w:tr w:rsidR="00CD49A9" w14:paraId="7C2CC865" w14:textId="77777777" w:rsidTr="00CD49A9">
        <w:tc>
          <w:tcPr>
            <w:tcW w:w="2405" w:type="dxa"/>
          </w:tcPr>
          <w:p w14:paraId="0A2EB3FB" w14:textId="14F4327E" w:rsidR="00CD49A9" w:rsidRPr="00CD49A9" w:rsidRDefault="00CD49A9">
            <w:pPr>
              <w:rPr>
                <w:b/>
                <w:lang w:val="en-AU"/>
              </w:rPr>
            </w:pPr>
            <w:r w:rsidRPr="00CD49A9">
              <w:rPr>
                <w:b/>
                <w:lang w:val="en-AU"/>
              </w:rPr>
              <w:t>Purpose</w:t>
            </w:r>
          </w:p>
        </w:tc>
        <w:tc>
          <w:tcPr>
            <w:tcW w:w="6605" w:type="dxa"/>
          </w:tcPr>
          <w:p w14:paraId="3CBB655F" w14:textId="62412CFF" w:rsidR="00CD49A9" w:rsidRDefault="00CD49A9" w:rsidP="00CD49A9">
            <w:pPr>
              <w:rPr>
                <w:lang w:val="en-AU"/>
              </w:rPr>
            </w:pPr>
            <w:r w:rsidRPr="00CD49A9">
              <w:rPr>
                <w:lang w:val="en-AU"/>
              </w:rPr>
              <w:t>The Committee is committed to high s</w:t>
            </w:r>
            <w:r>
              <w:rPr>
                <w:lang w:val="en-AU"/>
              </w:rPr>
              <w:t xml:space="preserve">tandards of ethical conduct and </w:t>
            </w:r>
            <w:r w:rsidRPr="00CD49A9">
              <w:rPr>
                <w:lang w:val="en-AU"/>
              </w:rPr>
              <w:t>accordingly places great importance on making clear any existing or</w:t>
            </w:r>
            <w:r>
              <w:rPr>
                <w:lang w:val="en-AU"/>
              </w:rPr>
              <w:t xml:space="preserve"> </w:t>
            </w:r>
            <w:r w:rsidRPr="00CD49A9">
              <w:rPr>
                <w:lang w:val="en-AU"/>
              </w:rPr>
              <w:t>potential conflict of interest.</w:t>
            </w:r>
          </w:p>
        </w:tc>
      </w:tr>
      <w:tr w:rsidR="00CD49A9" w14:paraId="7425D332" w14:textId="77777777" w:rsidTr="00CD49A9">
        <w:tc>
          <w:tcPr>
            <w:tcW w:w="2405" w:type="dxa"/>
          </w:tcPr>
          <w:p w14:paraId="5D10D78E" w14:textId="7741D666" w:rsidR="00CD49A9" w:rsidRPr="00CD49A9" w:rsidRDefault="00CD49A9">
            <w:pPr>
              <w:rPr>
                <w:b/>
                <w:lang w:val="en-AU"/>
              </w:rPr>
            </w:pPr>
            <w:r w:rsidRPr="00CD49A9">
              <w:rPr>
                <w:b/>
                <w:lang w:val="en-AU"/>
              </w:rPr>
              <w:t>Definitions</w:t>
            </w:r>
          </w:p>
        </w:tc>
        <w:tc>
          <w:tcPr>
            <w:tcW w:w="6605" w:type="dxa"/>
          </w:tcPr>
          <w:p w14:paraId="6A2A4F01" w14:textId="14046983" w:rsidR="00CD49A9" w:rsidRDefault="00CD49A9" w:rsidP="00CD49A9">
            <w:pPr>
              <w:rPr>
                <w:lang w:val="en-AU"/>
              </w:rPr>
            </w:pPr>
            <w:r w:rsidRPr="00CD49A9">
              <w:rPr>
                <w:lang w:val="en-AU"/>
              </w:rPr>
              <w:t xml:space="preserve">Conflict of interest – is a situation in </w:t>
            </w:r>
            <w:r>
              <w:rPr>
                <w:lang w:val="en-AU"/>
              </w:rPr>
              <w:t xml:space="preserve">which a person has a private or </w:t>
            </w:r>
            <w:r w:rsidRPr="00CD49A9">
              <w:rPr>
                <w:lang w:val="en-AU"/>
              </w:rPr>
              <w:t>personal interest su</w:t>
            </w:r>
            <w:r>
              <w:rPr>
                <w:lang w:val="en-AU"/>
              </w:rPr>
              <w:t xml:space="preserve">fficient to appear to influence </w:t>
            </w:r>
            <w:r w:rsidRPr="00CD49A9">
              <w:rPr>
                <w:lang w:val="en-AU"/>
              </w:rPr>
              <w:t>the objective</w:t>
            </w:r>
            <w:r>
              <w:rPr>
                <w:lang w:val="en-AU"/>
              </w:rPr>
              <w:t xml:space="preserve"> </w:t>
            </w:r>
            <w:r w:rsidRPr="00CD49A9">
              <w:rPr>
                <w:lang w:val="en-AU"/>
              </w:rPr>
              <w:t>exercise of his or her official duties as, say, a public official, an</w:t>
            </w:r>
            <w:r>
              <w:rPr>
                <w:lang w:val="en-AU"/>
              </w:rPr>
              <w:t xml:space="preserve"> </w:t>
            </w:r>
            <w:r w:rsidRPr="00CD49A9">
              <w:rPr>
                <w:lang w:val="en-AU"/>
              </w:rPr>
              <w:t>employee, or a professional.” Source: Chris MacDonald, Michael</w:t>
            </w:r>
            <w:r>
              <w:rPr>
                <w:lang w:val="en-AU"/>
              </w:rPr>
              <w:t xml:space="preserve"> </w:t>
            </w:r>
            <w:r w:rsidRPr="00CD49A9">
              <w:rPr>
                <w:lang w:val="en-AU"/>
              </w:rPr>
              <w:t>McDonald, and Wayen Norman, “Charitable Conflicts of Interest”,</w:t>
            </w:r>
            <w:r>
              <w:rPr>
                <w:lang w:val="en-AU"/>
              </w:rPr>
              <w:t xml:space="preserve"> </w:t>
            </w:r>
            <w:r w:rsidRPr="00CD49A9">
              <w:rPr>
                <w:lang w:val="en-AU"/>
              </w:rPr>
              <w:t>Journal of Business Ethics 39:1-2, 67-74, August 2002. (p.68).</w:t>
            </w:r>
          </w:p>
        </w:tc>
      </w:tr>
      <w:tr w:rsidR="00CD49A9" w14:paraId="33130212" w14:textId="77777777" w:rsidTr="00CD49A9">
        <w:tc>
          <w:tcPr>
            <w:tcW w:w="2405" w:type="dxa"/>
          </w:tcPr>
          <w:p w14:paraId="6A240C57" w14:textId="08508B14" w:rsidR="00CD49A9" w:rsidRPr="00CD49A9" w:rsidRDefault="00CD49A9">
            <w:pPr>
              <w:rPr>
                <w:b/>
                <w:lang w:val="en-AU"/>
              </w:rPr>
            </w:pPr>
            <w:r w:rsidRPr="00CD49A9">
              <w:rPr>
                <w:b/>
                <w:lang w:val="en-AU"/>
              </w:rPr>
              <w:t>Guiding Principles</w:t>
            </w:r>
          </w:p>
        </w:tc>
        <w:tc>
          <w:tcPr>
            <w:tcW w:w="6605" w:type="dxa"/>
          </w:tcPr>
          <w:p w14:paraId="1994C892" w14:textId="20F670B8" w:rsidR="00CD49A9" w:rsidRPr="00CD49A9" w:rsidRDefault="00CD49A9" w:rsidP="00CD49A9">
            <w:pPr>
              <w:pStyle w:val="ListParagraph"/>
              <w:numPr>
                <w:ilvl w:val="0"/>
                <w:numId w:val="1"/>
              </w:numPr>
              <w:rPr>
                <w:lang w:val="en-AU"/>
              </w:rPr>
            </w:pPr>
            <w:r w:rsidRPr="00CD49A9">
              <w:rPr>
                <w:lang w:val="en-AU"/>
              </w:rPr>
              <w:t>Association places great importance on making clear any existing or potential conflicts of interest.</w:t>
            </w:r>
          </w:p>
          <w:p w14:paraId="51CAD29F" w14:textId="5FB8CDF8" w:rsidR="00CD49A9" w:rsidRPr="00CD49A9" w:rsidRDefault="00CD49A9" w:rsidP="00CD49A9">
            <w:pPr>
              <w:pStyle w:val="ListParagraph"/>
              <w:numPr>
                <w:ilvl w:val="0"/>
                <w:numId w:val="1"/>
              </w:numPr>
              <w:rPr>
                <w:lang w:val="en-AU"/>
              </w:rPr>
            </w:pPr>
            <w:r w:rsidRPr="00CD49A9">
              <w:rPr>
                <w:lang w:val="en-AU"/>
              </w:rPr>
              <w:t>All conflicts of interest shall be declared by an individual or</w:t>
            </w:r>
            <w:r>
              <w:rPr>
                <w:lang w:val="en-AU"/>
              </w:rPr>
              <w:t xml:space="preserve"> </w:t>
            </w:r>
            <w:r w:rsidRPr="00CD49A9">
              <w:rPr>
                <w:lang w:val="en-AU"/>
              </w:rPr>
              <w:t>members concerned at commencement to the organisation or when relevant issues arise. The nature of this conflict of interest should be entered meeting minutes and the interest documented.</w:t>
            </w:r>
          </w:p>
          <w:p w14:paraId="709D73BF" w14:textId="4FC28AA5" w:rsidR="00CD49A9" w:rsidRPr="00CD49A9" w:rsidRDefault="00CD49A9" w:rsidP="00CD49A9">
            <w:pPr>
              <w:pStyle w:val="ListParagraph"/>
              <w:numPr>
                <w:ilvl w:val="0"/>
                <w:numId w:val="1"/>
              </w:numPr>
              <w:rPr>
                <w:lang w:val="en-AU"/>
              </w:rPr>
            </w:pPr>
            <w:r w:rsidRPr="00CD49A9">
              <w:rPr>
                <w:lang w:val="en-AU"/>
              </w:rPr>
              <w:t>A person who believes another person has an undeclared conflict of interest should specify in writing the basis of this potential conflict to the President</w:t>
            </w:r>
            <w:r>
              <w:rPr>
                <w:lang w:val="en-AU"/>
              </w:rPr>
              <w:t>.</w:t>
            </w:r>
          </w:p>
          <w:p w14:paraId="44B03E12" w14:textId="77777777" w:rsidR="00CD49A9" w:rsidRPr="00CD49A9" w:rsidRDefault="00CD49A9" w:rsidP="00CD49A9">
            <w:pPr>
              <w:pStyle w:val="ListParagraph"/>
              <w:numPr>
                <w:ilvl w:val="0"/>
                <w:numId w:val="1"/>
              </w:numPr>
              <w:rPr>
                <w:lang w:val="en-AU"/>
              </w:rPr>
            </w:pPr>
            <w:r w:rsidRPr="00CD49A9">
              <w:rPr>
                <w:lang w:val="en-AU"/>
              </w:rPr>
              <w:t>Ensuring individuals declare any conflicts of interest either at the start or when a relevant issue arises.</w:t>
            </w:r>
          </w:p>
          <w:p w14:paraId="7B2B34C6" w14:textId="744BCD96" w:rsidR="00CD49A9" w:rsidRPr="00CD49A9" w:rsidRDefault="00CD49A9" w:rsidP="00CD49A9">
            <w:pPr>
              <w:pStyle w:val="ListParagraph"/>
              <w:numPr>
                <w:ilvl w:val="0"/>
                <w:numId w:val="1"/>
              </w:numPr>
              <w:rPr>
                <w:lang w:val="en-AU"/>
              </w:rPr>
            </w:pPr>
            <w:r w:rsidRPr="00CD49A9">
              <w:rPr>
                <w:lang w:val="en-AU"/>
              </w:rPr>
              <w:t>At Committee level, where a conflict of interest or potential conflict of interest is identified and/or registered, the person concerned shall leave the room as soon as that item comes up for discussion.</w:t>
            </w:r>
            <w:r>
              <w:rPr>
                <w:lang w:val="en-AU"/>
              </w:rPr>
              <w:t xml:space="preserve"> </w:t>
            </w:r>
            <w:r w:rsidRPr="00CD49A9">
              <w:rPr>
                <w:lang w:val="en-AU"/>
              </w:rPr>
              <w:t>The concerned committee member shall not vote on that issue, nor initiate or take part in any Committee discussion on that topic (either in the meeting or with other Committee members before or after the Committee meetings), unless expressly invited to do so by unanimous agreement by all other members present.</w:t>
            </w:r>
          </w:p>
          <w:p w14:paraId="6C337E22" w14:textId="372E58F4" w:rsidR="00CD49A9" w:rsidRPr="00CD49A9" w:rsidRDefault="00CD49A9" w:rsidP="00CD49A9">
            <w:pPr>
              <w:pStyle w:val="ListParagraph"/>
              <w:numPr>
                <w:ilvl w:val="0"/>
                <w:numId w:val="1"/>
              </w:numPr>
              <w:rPr>
                <w:lang w:val="en-AU"/>
              </w:rPr>
            </w:pPr>
            <w:r w:rsidRPr="00CD49A9">
              <w:rPr>
                <w:lang w:val="en-AU"/>
              </w:rPr>
              <w:t xml:space="preserve">If a person declares themselves to have existing or potential conflict of interest confidentiality will be respected. If a person alleges that another person has a conflict of interest, whether existing or potential, and if the Committee cannot resolve this allegation to the satisfaction of both parties the matter shall be referred to </w:t>
            </w:r>
            <w:r w:rsidRPr="00CD49A9">
              <w:rPr>
                <w:lang w:val="en-AU"/>
              </w:rPr>
              <w:lastRenderedPageBreak/>
              <w:t>an external authority. This external authority will make a recommendation to the Committee as to what action shall be taken.</w:t>
            </w:r>
          </w:p>
          <w:p w14:paraId="2DEA4C12" w14:textId="77777777" w:rsidR="00CD49A9" w:rsidRPr="00CD49A9" w:rsidRDefault="00CD49A9" w:rsidP="00CD49A9">
            <w:pPr>
              <w:pStyle w:val="ListParagraph"/>
              <w:numPr>
                <w:ilvl w:val="0"/>
                <w:numId w:val="1"/>
              </w:numPr>
              <w:rPr>
                <w:lang w:val="en-AU"/>
              </w:rPr>
            </w:pPr>
            <w:r w:rsidRPr="00CD49A9">
              <w:rPr>
                <w:lang w:val="en-AU"/>
              </w:rPr>
              <w:t xml:space="preserve">Examples of conflict of interest could be (but are not limited to): </w:t>
            </w:r>
          </w:p>
          <w:p w14:paraId="78CE24E4" w14:textId="1198B0BB" w:rsidR="00CD49A9" w:rsidRPr="00CD49A9" w:rsidRDefault="00CD49A9" w:rsidP="00CD49A9">
            <w:pPr>
              <w:pStyle w:val="ListParagraph"/>
              <w:numPr>
                <w:ilvl w:val="0"/>
                <w:numId w:val="2"/>
              </w:numPr>
              <w:rPr>
                <w:lang w:val="en-AU"/>
              </w:rPr>
            </w:pPr>
            <w:r w:rsidRPr="00CD49A9">
              <w:rPr>
                <w:lang w:val="en-AU"/>
              </w:rPr>
              <w:t>When an employee/ committee member/volunteer or member of their immediate family or business interests stands to gain financially from any business dealings, activities or services of the organisation.</w:t>
            </w:r>
          </w:p>
          <w:p w14:paraId="525ACF7F" w14:textId="77777777" w:rsidR="00CD49A9" w:rsidRPr="00CD49A9" w:rsidRDefault="00CD49A9" w:rsidP="00CD49A9">
            <w:pPr>
              <w:pStyle w:val="ListParagraph"/>
              <w:numPr>
                <w:ilvl w:val="0"/>
                <w:numId w:val="2"/>
              </w:numPr>
              <w:rPr>
                <w:lang w:val="en-AU"/>
              </w:rPr>
            </w:pPr>
            <w:r w:rsidRPr="00CD49A9">
              <w:rPr>
                <w:lang w:val="en-AU"/>
              </w:rPr>
              <w:t>When a committee member him or herself offers a professional service to the association</w:t>
            </w:r>
          </w:p>
          <w:p w14:paraId="5CAD166D" w14:textId="32113313" w:rsidR="00CD49A9" w:rsidRPr="00CD49A9" w:rsidRDefault="00CD49A9" w:rsidP="00CD49A9">
            <w:pPr>
              <w:pStyle w:val="ListParagraph"/>
              <w:numPr>
                <w:ilvl w:val="0"/>
                <w:numId w:val="2"/>
              </w:numPr>
              <w:rPr>
                <w:lang w:val="en-AU"/>
              </w:rPr>
            </w:pPr>
            <w:r w:rsidRPr="00CD49A9">
              <w:rPr>
                <w:lang w:val="en-AU"/>
              </w:rPr>
              <w:t>When an employee or committee member stands to gain personally or professionally from any insider knowledge if that knowledge is used to personal advantage.</w:t>
            </w:r>
          </w:p>
          <w:p w14:paraId="03FA4418" w14:textId="10956A17" w:rsidR="00CD49A9" w:rsidRPr="00CD49A9" w:rsidRDefault="00CD49A9" w:rsidP="00CD49A9">
            <w:pPr>
              <w:pStyle w:val="ListParagraph"/>
              <w:numPr>
                <w:ilvl w:val="0"/>
                <w:numId w:val="2"/>
              </w:numPr>
              <w:rPr>
                <w:lang w:val="en-AU"/>
              </w:rPr>
            </w:pPr>
            <w:r w:rsidRPr="00CD49A9">
              <w:rPr>
                <w:lang w:val="en-AU"/>
              </w:rPr>
              <w:t>Where a committee member or the ex/officio member of the committee has a role on the governing body of another organisation, where the activities of that other body may be in direct conflict or competition with the activities of the association.</w:t>
            </w:r>
          </w:p>
        </w:tc>
      </w:tr>
      <w:tr w:rsidR="00CD49A9" w14:paraId="015D21CD" w14:textId="77777777" w:rsidTr="00CD49A9">
        <w:tc>
          <w:tcPr>
            <w:tcW w:w="2405" w:type="dxa"/>
          </w:tcPr>
          <w:p w14:paraId="7B432C99" w14:textId="24BFA661" w:rsidR="00CD49A9" w:rsidRPr="00CD49A9" w:rsidRDefault="00CD49A9">
            <w:pPr>
              <w:rPr>
                <w:b/>
                <w:lang w:val="en-AU"/>
              </w:rPr>
            </w:pPr>
            <w:r w:rsidRPr="00CD49A9">
              <w:rPr>
                <w:b/>
                <w:lang w:val="en-AU"/>
              </w:rPr>
              <w:lastRenderedPageBreak/>
              <w:t>References – Internal</w:t>
            </w:r>
          </w:p>
        </w:tc>
        <w:tc>
          <w:tcPr>
            <w:tcW w:w="6605" w:type="dxa"/>
          </w:tcPr>
          <w:p w14:paraId="5B12F566" w14:textId="77777777" w:rsidR="00CD49A9" w:rsidRDefault="00CD49A9">
            <w:pPr>
              <w:rPr>
                <w:lang w:val="en-AU"/>
              </w:rPr>
            </w:pPr>
          </w:p>
        </w:tc>
      </w:tr>
      <w:tr w:rsidR="00CD49A9" w14:paraId="16701D03" w14:textId="77777777" w:rsidTr="00CD49A9">
        <w:tc>
          <w:tcPr>
            <w:tcW w:w="2405" w:type="dxa"/>
          </w:tcPr>
          <w:p w14:paraId="6CE65D7B" w14:textId="2F8F7C98" w:rsidR="00CD49A9" w:rsidRPr="00CD49A9" w:rsidRDefault="00CD49A9">
            <w:pPr>
              <w:rPr>
                <w:b/>
                <w:lang w:val="en-AU"/>
              </w:rPr>
            </w:pPr>
            <w:r w:rsidRPr="00CD49A9">
              <w:rPr>
                <w:b/>
                <w:lang w:val="en-AU"/>
              </w:rPr>
              <w:t xml:space="preserve">References – External </w:t>
            </w:r>
          </w:p>
        </w:tc>
        <w:tc>
          <w:tcPr>
            <w:tcW w:w="6605" w:type="dxa"/>
          </w:tcPr>
          <w:p w14:paraId="5C9D37BC" w14:textId="546E09F1" w:rsidR="00CD49A9" w:rsidRDefault="00CD49A9">
            <w:pPr>
              <w:rPr>
                <w:lang w:val="en-AU"/>
              </w:rPr>
            </w:pPr>
            <w:r>
              <w:rPr>
                <w:lang w:val="en-AU"/>
              </w:rPr>
              <w:t>None</w:t>
            </w:r>
          </w:p>
        </w:tc>
      </w:tr>
      <w:tr w:rsidR="00CD49A9" w14:paraId="25FE24B7" w14:textId="77777777" w:rsidTr="00CD49A9">
        <w:tc>
          <w:tcPr>
            <w:tcW w:w="2405" w:type="dxa"/>
          </w:tcPr>
          <w:p w14:paraId="6615BD47" w14:textId="2EAB99CD" w:rsidR="00CD49A9" w:rsidRPr="00CD49A9" w:rsidRDefault="00CD49A9">
            <w:pPr>
              <w:rPr>
                <w:b/>
                <w:lang w:val="en-AU"/>
              </w:rPr>
            </w:pPr>
            <w:r w:rsidRPr="00CD49A9">
              <w:rPr>
                <w:b/>
                <w:lang w:val="en-AU"/>
              </w:rPr>
              <w:t>Review</w:t>
            </w:r>
          </w:p>
        </w:tc>
        <w:tc>
          <w:tcPr>
            <w:tcW w:w="6605" w:type="dxa"/>
          </w:tcPr>
          <w:p w14:paraId="6B0B27AE" w14:textId="637D2E82" w:rsidR="00CD49A9" w:rsidRDefault="00CD49A9">
            <w:pPr>
              <w:rPr>
                <w:lang w:val="en-AU"/>
              </w:rPr>
            </w:pPr>
            <w:r w:rsidRPr="00CD49A9">
              <w:rPr>
                <w:lang w:val="en-AU"/>
              </w:rPr>
              <w:t>Policies should be reviewed every three years.</w:t>
            </w:r>
          </w:p>
        </w:tc>
      </w:tr>
    </w:tbl>
    <w:p w14:paraId="6E57D2EB" w14:textId="77777777" w:rsidR="00CD49A9" w:rsidRPr="00CD49A9" w:rsidRDefault="00CD49A9">
      <w:pPr>
        <w:rPr>
          <w:lang w:val="en-AU"/>
        </w:rPr>
      </w:pPr>
    </w:p>
    <w:sectPr w:rsidR="00CD49A9" w:rsidRPr="00CD49A9" w:rsidSect="00EF444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A4FC7" w14:textId="77777777" w:rsidR="005C6274" w:rsidRDefault="005C6274" w:rsidP="00CD49A9">
      <w:r>
        <w:separator/>
      </w:r>
    </w:p>
  </w:endnote>
  <w:endnote w:type="continuationSeparator" w:id="0">
    <w:p w14:paraId="38A3A2C4" w14:textId="77777777" w:rsidR="005C6274" w:rsidRDefault="005C6274" w:rsidP="00CD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83C5" w14:textId="77777777" w:rsidR="00B03F09" w:rsidRDefault="00B03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7072" w14:textId="28D0D9B2" w:rsidR="00B03F09" w:rsidRPr="00B03F09" w:rsidRDefault="00B03F09">
    <w:pPr>
      <w:pStyle w:val="Footer"/>
      <w:rPr>
        <w:lang w:val="en-AU"/>
      </w:rPr>
    </w:pPr>
    <w:r>
      <w:rPr>
        <w:lang w:val="en-AU"/>
      </w:rPr>
      <w:t xml:space="preserve">AES Governance Tool Kit 2019 Version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93C3D" w14:textId="77777777" w:rsidR="00B03F09" w:rsidRDefault="00B03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77007" w14:textId="77777777" w:rsidR="005C6274" w:rsidRDefault="005C6274" w:rsidP="00CD49A9">
      <w:r>
        <w:separator/>
      </w:r>
    </w:p>
  </w:footnote>
  <w:footnote w:type="continuationSeparator" w:id="0">
    <w:p w14:paraId="108F5C90" w14:textId="77777777" w:rsidR="005C6274" w:rsidRDefault="005C6274" w:rsidP="00CD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5F6C" w14:textId="77777777" w:rsidR="00B03F09" w:rsidRDefault="00B03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D8BA2" w14:textId="77777777" w:rsidR="00B03F09" w:rsidRDefault="00B03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5AA66" w14:textId="77777777" w:rsidR="00B03F09" w:rsidRDefault="00B03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C6419"/>
    <w:multiLevelType w:val="hybridMultilevel"/>
    <w:tmpl w:val="B4FEE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E051D2"/>
    <w:multiLevelType w:val="hybridMultilevel"/>
    <w:tmpl w:val="3634E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73"/>
    <w:rsid w:val="000C3F87"/>
    <w:rsid w:val="005C6274"/>
    <w:rsid w:val="00901973"/>
    <w:rsid w:val="009A2BC0"/>
    <w:rsid w:val="00A123BE"/>
    <w:rsid w:val="00AE567C"/>
    <w:rsid w:val="00B03F09"/>
    <w:rsid w:val="00CD49A9"/>
    <w:rsid w:val="00EF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374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AE567C"/>
    <w:rPr>
      <w:rFonts w:ascii="Helvetica" w:hAnsi="Helvetica"/>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vAlign w:val="center"/>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CD49A9"/>
    <w:pPr>
      <w:tabs>
        <w:tab w:val="center" w:pos="4513"/>
        <w:tab w:val="right" w:pos="9026"/>
      </w:tabs>
    </w:pPr>
  </w:style>
  <w:style w:type="character" w:customStyle="1" w:styleId="HeaderChar">
    <w:name w:val="Header Char"/>
    <w:basedOn w:val="DefaultParagraphFont"/>
    <w:link w:val="Header"/>
    <w:uiPriority w:val="99"/>
    <w:rsid w:val="00CD49A9"/>
  </w:style>
  <w:style w:type="paragraph" w:styleId="Footer">
    <w:name w:val="footer"/>
    <w:basedOn w:val="Normal"/>
    <w:link w:val="FooterChar"/>
    <w:uiPriority w:val="99"/>
    <w:unhideWhenUsed/>
    <w:rsid w:val="00CD49A9"/>
    <w:pPr>
      <w:tabs>
        <w:tab w:val="center" w:pos="4513"/>
        <w:tab w:val="right" w:pos="9026"/>
      </w:tabs>
    </w:pPr>
  </w:style>
  <w:style w:type="character" w:customStyle="1" w:styleId="FooterChar">
    <w:name w:val="Footer Char"/>
    <w:basedOn w:val="DefaultParagraphFont"/>
    <w:link w:val="Footer"/>
    <w:uiPriority w:val="99"/>
    <w:rsid w:val="00CD49A9"/>
  </w:style>
  <w:style w:type="table" w:styleId="TableGrid">
    <w:name w:val="Table Grid"/>
    <w:basedOn w:val="TableNormal"/>
    <w:uiPriority w:val="39"/>
    <w:rsid w:val="00CD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4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722">
      <w:bodyDiv w:val="1"/>
      <w:marLeft w:val="0"/>
      <w:marRight w:val="0"/>
      <w:marTop w:val="0"/>
      <w:marBottom w:val="0"/>
      <w:divBdr>
        <w:top w:val="none" w:sz="0" w:space="0" w:color="auto"/>
        <w:left w:val="none" w:sz="0" w:space="0" w:color="auto"/>
        <w:bottom w:val="none" w:sz="0" w:space="0" w:color="auto"/>
        <w:right w:val="none" w:sz="0" w:space="0" w:color="auto"/>
      </w:divBdr>
    </w:div>
    <w:div w:id="1719351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Wood</dc:creator>
  <cp:keywords/>
  <dc:description/>
  <cp:lastModifiedBy>Nick Koerbin</cp:lastModifiedBy>
  <cp:revision>3</cp:revision>
  <dcterms:created xsi:type="dcterms:W3CDTF">2019-07-21T22:41:00Z</dcterms:created>
  <dcterms:modified xsi:type="dcterms:W3CDTF">2019-07-22T00:53:00Z</dcterms:modified>
</cp:coreProperties>
</file>