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8E6" w:rsidRPr="0075100B" w:rsidRDefault="00A068E6" w:rsidP="00996878">
      <w:pPr>
        <w:pStyle w:val="ActTitle"/>
        <w:rPr>
          <w:rFonts w:cs="Arial"/>
          <w:sz w:val="20"/>
        </w:rPr>
      </w:pPr>
      <w:bookmarkStart w:id="0" w:name="_GoBack"/>
      <w:bookmarkEnd w:id="0"/>
      <w:r w:rsidRPr="0075100B">
        <w:rPr>
          <w:rFonts w:cs="Arial"/>
          <w:sz w:val="20"/>
        </w:rPr>
        <w:t>Planning and Environment Act 1987</w:t>
      </w:r>
    </w:p>
    <w:p w:rsidR="00A068E6" w:rsidRPr="0075100B" w:rsidRDefault="00F34289" w:rsidP="00684895">
      <w:pPr>
        <w:pStyle w:val="Heading1"/>
        <w:rPr>
          <w:rFonts w:cs="Arial"/>
          <w:sz w:val="28"/>
          <w:szCs w:val="28"/>
        </w:rPr>
      </w:pPr>
      <w:r w:rsidRPr="0075100B">
        <w:rPr>
          <w:rFonts w:cs="Arial"/>
          <w:sz w:val="28"/>
          <w:szCs w:val="28"/>
        </w:rPr>
        <w:t xml:space="preserve">SOUTH GIPPSLAND </w:t>
      </w:r>
      <w:r w:rsidR="00A068E6" w:rsidRPr="0075100B">
        <w:rPr>
          <w:rFonts w:cs="Arial"/>
          <w:sz w:val="28"/>
          <w:szCs w:val="28"/>
        </w:rPr>
        <w:t>PLANNING SCHEME</w:t>
      </w:r>
    </w:p>
    <w:p w:rsidR="00A068E6" w:rsidRPr="0075100B" w:rsidRDefault="00A068E6" w:rsidP="00684895">
      <w:pPr>
        <w:pStyle w:val="Heading1"/>
        <w:rPr>
          <w:rFonts w:cs="Arial"/>
          <w:sz w:val="28"/>
          <w:szCs w:val="28"/>
        </w:rPr>
      </w:pPr>
      <w:r w:rsidRPr="0075100B">
        <w:rPr>
          <w:rFonts w:cs="Arial"/>
          <w:sz w:val="28"/>
          <w:szCs w:val="28"/>
        </w:rPr>
        <w:t>AMENDMENT C</w:t>
      </w:r>
      <w:r w:rsidR="00F34289" w:rsidRPr="0075100B">
        <w:rPr>
          <w:rFonts w:cs="Arial"/>
          <w:sz w:val="28"/>
          <w:szCs w:val="28"/>
        </w:rPr>
        <w:t>65</w:t>
      </w:r>
    </w:p>
    <w:p w:rsidR="00A068E6" w:rsidRPr="0075100B" w:rsidRDefault="006109DA" w:rsidP="00684895">
      <w:pPr>
        <w:pStyle w:val="Heading1"/>
        <w:rPr>
          <w:rFonts w:cs="Arial"/>
          <w:szCs w:val="24"/>
        </w:rPr>
      </w:pPr>
      <w:r w:rsidRPr="0075100B">
        <w:rPr>
          <w:rFonts w:cs="Arial"/>
          <w:szCs w:val="24"/>
        </w:rPr>
        <w:t>E</w:t>
      </w:r>
      <w:r w:rsidR="00A068E6" w:rsidRPr="0075100B">
        <w:rPr>
          <w:rFonts w:cs="Arial"/>
          <w:szCs w:val="24"/>
        </w:rPr>
        <w:t>XPLANATORY REPORT</w:t>
      </w:r>
    </w:p>
    <w:p w:rsidR="00A068E6" w:rsidRPr="0075100B" w:rsidRDefault="00A068E6" w:rsidP="008310E5">
      <w:pPr>
        <w:pStyle w:val="Heading2"/>
        <w:jc w:val="left"/>
        <w:rPr>
          <w:rFonts w:cs="Arial"/>
        </w:rPr>
      </w:pPr>
      <w:r w:rsidRPr="0075100B">
        <w:rPr>
          <w:rFonts w:cs="Arial"/>
        </w:rPr>
        <w:t>Who is the planning authority?</w:t>
      </w:r>
    </w:p>
    <w:p w:rsidR="00A068E6" w:rsidRPr="0075100B" w:rsidRDefault="00A068E6" w:rsidP="008310E5">
      <w:pPr>
        <w:jc w:val="left"/>
        <w:rPr>
          <w:rFonts w:ascii="Arial" w:hAnsi="Arial" w:cs="Arial"/>
          <w:sz w:val="22"/>
          <w:szCs w:val="22"/>
        </w:rPr>
      </w:pPr>
      <w:r w:rsidRPr="0075100B">
        <w:rPr>
          <w:rFonts w:ascii="Arial" w:hAnsi="Arial" w:cs="Arial"/>
          <w:sz w:val="22"/>
          <w:szCs w:val="22"/>
        </w:rPr>
        <w:t xml:space="preserve">This </w:t>
      </w:r>
      <w:r w:rsidR="00AF45B5">
        <w:rPr>
          <w:rFonts w:ascii="Arial" w:hAnsi="Arial" w:cs="Arial"/>
          <w:sz w:val="22"/>
          <w:szCs w:val="22"/>
        </w:rPr>
        <w:t>Amendment</w:t>
      </w:r>
      <w:r w:rsidRPr="0075100B">
        <w:rPr>
          <w:rFonts w:ascii="Arial" w:hAnsi="Arial" w:cs="Arial"/>
          <w:sz w:val="22"/>
          <w:szCs w:val="22"/>
        </w:rPr>
        <w:t xml:space="preserve"> has been prepared by the</w:t>
      </w:r>
      <w:r w:rsidR="00FE71B0" w:rsidRPr="0075100B">
        <w:rPr>
          <w:rFonts w:ascii="Arial" w:hAnsi="Arial" w:cs="Arial"/>
          <w:sz w:val="22"/>
          <w:szCs w:val="22"/>
        </w:rPr>
        <w:t xml:space="preserve"> </w:t>
      </w:r>
      <w:r w:rsidR="00F34289" w:rsidRPr="0075100B">
        <w:rPr>
          <w:rFonts w:ascii="Arial" w:hAnsi="Arial" w:cs="Arial"/>
          <w:sz w:val="22"/>
          <w:szCs w:val="22"/>
        </w:rPr>
        <w:t xml:space="preserve">South Gippsland Shire Council </w:t>
      </w:r>
      <w:r w:rsidR="00C93B2C" w:rsidRPr="0075100B">
        <w:rPr>
          <w:rFonts w:ascii="Arial" w:hAnsi="Arial" w:cs="Arial"/>
          <w:sz w:val="22"/>
          <w:szCs w:val="22"/>
        </w:rPr>
        <w:t>which</w:t>
      </w:r>
      <w:r w:rsidR="005C12D1" w:rsidRPr="0075100B">
        <w:rPr>
          <w:rFonts w:ascii="Arial" w:hAnsi="Arial" w:cs="Arial"/>
          <w:sz w:val="22"/>
          <w:szCs w:val="22"/>
        </w:rPr>
        <w:t xml:space="preserve"> </w:t>
      </w:r>
      <w:r w:rsidRPr="0075100B">
        <w:rPr>
          <w:rFonts w:ascii="Arial" w:hAnsi="Arial" w:cs="Arial"/>
          <w:sz w:val="22"/>
          <w:szCs w:val="22"/>
        </w:rPr>
        <w:t xml:space="preserve">is the planning authority for this </w:t>
      </w:r>
      <w:r w:rsidR="00AF45B5">
        <w:rPr>
          <w:rFonts w:ascii="Arial" w:hAnsi="Arial" w:cs="Arial"/>
          <w:sz w:val="22"/>
          <w:szCs w:val="22"/>
        </w:rPr>
        <w:t>Amendment</w:t>
      </w:r>
      <w:r w:rsidRPr="0075100B">
        <w:rPr>
          <w:rFonts w:ascii="Arial" w:hAnsi="Arial" w:cs="Arial"/>
          <w:sz w:val="22"/>
          <w:szCs w:val="22"/>
        </w:rPr>
        <w:t>.</w:t>
      </w:r>
    </w:p>
    <w:p w:rsidR="00A068E6" w:rsidRPr="0075100B" w:rsidRDefault="00855A78" w:rsidP="008310E5">
      <w:pPr>
        <w:jc w:val="left"/>
        <w:rPr>
          <w:rFonts w:ascii="Arial" w:hAnsi="Arial" w:cs="Arial"/>
          <w:sz w:val="22"/>
          <w:szCs w:val="22"/>
        </w:rPr>
      </w:pPr>
      <w:r w:rsidRPr="0075100B">
        <w:rPr>
          <w:rFonts w:ascii="Arial" w:hAnsi="Arial" w:cs="Arial"/>
          <w:sz w:val="22"/>
          <w:szCs w:val="22"/>
        </w:rPr>
        <w:t>The A</w:t>
      </w:r>
      <w:r w:rsidR="00A068E6" w:rsidRPr="0075100B">
        <w:rPr>
          <w:rFonts w:ascii="Arial" w:hAnsi="Arial" w:cs="Arial"/>
          <w:sz w:val="22"/>
          <w:szCs w:val="22"/>
        </w:rPr>
        <w:t>mendment has been made at the request of</w:t>
      </w:r>
      <w:r w:rsidR="00FE71B0" w:rsidRPr="0075100B">
        <w:rPr>
          <w:rFonts w:ascii="Arial" w:hAnsi="Arial" w:cs="Arial"/>
          <w:sz w:val="22"/>
          <w:szCs w:val="22"/>
        </w:rPr>
        <w:t xml:space="preserve"> </w:t>
      </w:r>
      <w:r w:rsidR="00F34289" w:rsidRPr="0075100B">
        <w:rPr>
          <w:rFonts w:ascii="Arial" w:hAnsi="Arial" w:cs="Arial"/>
          <w:sz w:val="22"/>
          <w:szCs w:val="22"/>
        </w:rPr>
        <w:t>Mr Geoff Murphy acting for Mrs S Murphy (landowner)</w:t>
      </w:r>
      <w:r w:rsidR="00A068E6" w:rsidRPr="0075100B">
        <w:rPr>
          <w:rFonts w:ascii="Arial" w:hAnsi="Arial" w:cs="Arial"/>
          <w:sz w:val="22"/>
          <w:szCs w:val="22"/>
        </w:rPr>
        <w:t>.</w:t>
      </w:r>
    </w:p>
    <w:p w:rsidR="00A068E6" w:rsidRPr="0075100B" w:rsidRDefault="00855A78" w:rsidP="008310E5">
      <w:pPr>
        <w:pStyle w:val="Heading2"/>
        <w:jc w:val="left"/>
        <w:rPr>
          <w:rFonts w:cs="Arial"/>
        </w:rPr>
      </w:pPr>
      <w:r w:rsidRPr="0075100B">
        <w:rPr>
          <w:rFonts w:cs="Arial"/>
        </w:rPr>
        <w:t>Land affected by the A</w:t>
      </w:r>
      <w:r w:rsidR="00814A45" w:rsidRPr="0075100B">
        <w:rPr>
          <w:rFonts w:cs="Arial"/>
        </w:rPr>
        <w:t>mendment</w:t>
      </w:r>
    </w:p>
    <w:p w:rsidR="00F34289" w:rsidRPr="00F34289" w:rsidRDefault="00855A78" w:rsidP="00F34289">
      <w:pPr>
        <w:jc w:val="left"/>
        <w:rPr>
          <w:rFonts w:ascii="Arial" w:hAnsi="Arial" w:cs="Arial"/>
          <w:sz w:val="22"/>
          <w:szCs w:val="22"/>
        </w:rPr>
      </w:pPr>
      <w:r>
        <w:rPr>
          <w:rFonts w:ascii="Arial" w:hAnsi="Arial" w:cs="Arial"/>
          <w:sz w:val="22"/>
          <w:szCs w:val="22"/>
        </w:rPr>
        <w:t xml:space="preserve">The </w:t>
      </w:r>
      <w:r w:rsidR="00AF45B5">
        <w:rPr>
          <w:rFonts w:ascii="Arial" w:hAnsi="Arial" w:cs="Arial"/>
          <w:sz w:val="22"/>
          <w:szCs w:val="22"/>
        </w:rPr>
        <w:t>Amendment</w:t>
      </w:r>
      <w:r w:rsidR="00A068E6" w:rsidRPr="00F27102">
        <w:rPr>
          <w:rFonts w:ascii="Arial" w:hAnsi="Arial" w:cs="Arial"/>
          <w:sz w:val="22"/>
          <w:szCs w:val="22"/>
        </w:rPr>
        <w:t xml:space="preserve"> applies to</w:t>
      </w:r>
      <w:r w:rsidR="00FE71B0" w:rsidRPr="00F27102">
        <w:rPr>
          <w:rFonts w:ascii="Arial" w:hAnsi="Arial" w:cs="Arial"/>
          <w:sz w:val="22"/>
          <w:szCs w:val="22"/>
        </w:rPr>
        <w:t xml:space="preserve"> </w:t>
      </w:r>
      <w:r w:rsidR="00F34289">
        <w:rPr>
          <w:rFonts w:ascii="Arial" w:hAnsi="Arial" w:cs="Arial"/>
          <w:sz w:val="22"/>
          <w:szCs w:val="22"/>
        </w:rPr>
        <w:t>land</w:t>
      </w:r>
      <w:r w:rsidR="008A2503">
        <w:rPr>
          <w:rFonts w:ascii="Arial" w:hAnsi="Arial" w:cs="Arial"/>
          <w:sz w:val="22"/>
          <w:szCs w:val="22"/>
        </w:rPr>
        <w:t xml:space="preserve"> identified in the Planning Scheme as ‘Urban Expansion Area’</w:t>
      </w:r>
      <w:r w:rsidR="00F34289">
        <w:rPr>
          <w:rFonts w:ascii="Arial" w:hAnsi="Arial" w:cs="Arial"/>
          <w:sz w:val="22"/>
          <w:szCs w:val="22"/>
        </w:rPr>
        <w:t>, being</w:t>
      </w:r>
      <w:r w:rsidR="0075100B">
        <w:rPr>
          <w:rFonts w:ascii="Arial" w:hAnsi="Arial" w:cs="Arial"/>
          <w:sz w:val="22"/>
          <w:szCs w:val="22"/>
        </w:rPr>
        <w:t xml:space="preserve"> 77 Gibson Street which is comprised of these lots</w:t>
      </w:r>
      <w:r w:rsidR="00F34289">
        <w:rPr>
          <w:rFonts w:ascii="Arial" w:hAnsi="Arial" w:cs="Arial"/>
          <w:sz w:val="22"/>
          <w:szCs w:val="22"/>
        </w:rPr>
        <w:t xml:space="preserve">; </w:t>
      </w:r>
    </w:p>
    <w:p w:rsidR="00F34289" w:rsidRPr="00F34289" w:rsidRDefault="00F34289" w:rsidP="00F34289">
      <w:pPr>
        <w:numPr>
          <w:ilvl w:val="0"/>
          <w:numId w:val="44"/>
        </w:numPr>
        <w:jc w:val="left"/>
        <w:rPr>
          <w:rFonts w:ascii="Arial" w:hAnsi="Arial" w:cs="Arial"/>
          <w:sz w:val="22"/>
          <w:szCs w:val="22"/>
        </w:rPr>
      </w:pPr>
      <w:r w:rsidRPr="00F34289">
        <w:rPr>
          <w:rFonts w:ascii="Arial" w:hAnsi="Arial" w:cs="Arial"/>
          <w:sz w:val="22"/>
          <w:szCs w:val="22"/>
        </w:rPr>
        <w:t xml:space="preserve">Part L2 PS330446R (Vol. 10177, Folio 077, approx. 17.2ha), </w:t>
      </w:r>
    </w:p>
    <w:p w:rsidR="00F34289" w:rsidRPr="00F34289" w:rsidRDefault="00F34289" w:rsidP="00F34289">
      <w:pPr>
        <w:numPr>
          <w:ilvl w:val="0"/>
          <w:numId w:val="44"/>
        </w:numPr>
        <w:jc w:val="left"/>
        <w:rPr>
          <w:rFonts w:ascii="Arial" w:hAnsi="Arial" w:cs="Arial"/>
          <w:sz w:val="22"/>
          <w:szCs w:val="22"/>
        </w:rPr>
      </w:pPr>
      <w:r w:rsidRPr="00F34289">
        <w:rPr>
          <w:rFonts w:ascii="Arial" w:hAnsi="Arial" w:cs="Arial"/>
          <w:sz w:val="22"/>
          <w:szCs w:val="22"/>
        </w:rPr>
        <w:t xml:space="preserve">L1 PS330446R (Vol. 10177, Folio 076, 0.8ha), </w:t>
      </w:r>
    </w:p>
    <w:p w:rsidR="00F34289" w:rsidRPr="00F34289" w:rsidRDefault="00F34289" w:rsidP="00F34289">
      <w:pPr>
        <w:numPr>
          <w:ilvl w:val="0"/>
          <w:numId w:val="44"/>
        </w:numPr>
        <w:jc w:val="left"/>
        <w:rPr>
          <w:rFonts w:ascii="Arial" w:hAnsi="Arial" w:cs="Arial"/>
          <w:sz w:val="22"/>
          <w:szCs w:val="22"/>
        </w:rPr>
      </w:pPr>
      <w:r w:rsidRPr="00F34289">
        <w:rPr>
          <w:rFonts w:ascii="Arial" w:hAnsi="Arial" w:cs="Arial"/>
          <w:sz w:val="22"/>
          <w:szCs w:val="22"/>
        </w:rPr>
        <w:t xml:space="preserve">L2 PS404151C (Vol. 10381, Folio 344, 28.3ha) and </w:t>
      </w:r>
    </w:p>
    <w:p w:rsidR="00A068E6" w:rsidRDefault="00F34289" w:rsidP="00F34289">
      <w:pPr>
        <w:numPr>
          <w:ilvl w:val="0"/>
          <w:numId w:val="44"/>
        </w:numPr>
        <w:jc w:val="left"/>
        <w:rPr>
          <w:rFonts w:ascii="Arial" w:hAnsi="Arial" w:cs="Arial"/>
          <w:sz w:val="22"/>
          <w:szCs w:val="22"/>
        </w:rPr>
      </w:pPr>
      <w:r w:rsidRPr="00F34289">
        <w:rPr>
          <w:rFonts w:ascii="Arial" w:hAnsi="Arial" w:cs="Arial"/>
          <w:sz w:val="22"/>
          <w:szCs w:val="22"/>
        </w:rPr>
        <w:t>L1 PS404151C (Vol. 10381, Folio 343, 12ha).</w:t>
      </w:r>
    </w:p>
    <w:p w:rsidR="005D21F9" w:rsidRDefault="000F550B" w:rsidP="008A2503">
      <w:pPr>
        <w:jc w:val="left"/>
        <w:rPr>
          <w:rFonts w:ascii="Arial" w:hAnsi="Arial" w:cs="Arial"/>
          <w:sz w:val="22"/>
          <w:szCs w:val="22"/>
        </w:rPr>
      </w:pPr>
      <w:r>
        <w:rPr>
          <w:noProof/>
        </w:rPr>
        <w:drawing>
          <wp:anchor distT="0" distB="0" distL="114300" distR="114300" simplePos="0" relativeHeight="251657728" behindDoc="1" locked="0" layoutInCell="1" allowOverlap="1">
            <wp:simplePos x="0" y="0"/>
            <wp:positionH relativeFrom="column">
              <wp:posOffset>2266315</wp:posOffset>
            </wp:positionH>
            <wp:positionV relativeFrom="paragraph">
              <wp:posOffset>220980</wp:posOffset>
            </wp:positionV>
            <wp:extent cx="3681730" cy="4436745"/>
            <wp:effectExtent l="0" t="0" r="0" b="190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2968"/>
                    <a:stretch>
                      <a:fillRect/>
                    </a:stretch>
                  </pic:blipFill>
                  <pic:spPr bwMode="auto">
                    <a:xfrm>
                      <a:off x="0" y="0"/>
                      <a:ext cx="3681730" cy="4436745"/>
                    </a:xfrm>
                    <a:prstGeom prst="rect">
                      <a:avLst/>
                    </a:prstGeom>
                    <a:noFill/>
                  </pic:spPr>
                </pic:pic>
              </a:graphicData>
            </a:graphic>
            <wp14:sizeRelH relativeFrom="page">
              <wp14:pctWidth>0</wp14:pctWidth>
            </wp14:sizeRelH>
            <wp14:sizeRelV relativeFrom="page">
              <wp14:pctHeight>0</wp14:pctHeight>
            </wp14:sizeRelV>
          </wp:anchor>
        </w:drawing>
      </w:r>
    </w:p>
    <w:p w:rsidR="007E43B6" w:rsidRDefault="007E43B6" w:rsidP="008A2503">
      <w:pPr>
        <w:jc w:val="left"/>
        <w:rPr>
          <w:rFonts w:ascii="Arial" w:hAnsi="Arial" w:cs="Arial"/>
          <w:sz w:val="22"/>
          <w:szCs w:val="22"/>
        </w:rPr>
      </w:pPr>
    </w:p>
    <w:p w:rsidR="007E43B6" w:rsidRDefault="007E43B6" w:rsidP="008A2503">
      <w:pPr>
        <w:jc w:val="left"/>
        <w:rPr>
          <w:rFonts w:ascii="Arial" w:hAnsi="Arial" w:cs="Arial"/>
          <w:sz w:val="22"/>
          <w:szCs w:val="22"/>
        </w:rPr>
      </w:pPr>
    </w:p>
    <w:p w:rsidR="007E43B6" w:rsidRDefault="007E43B6" w:rsidP="008A2503">
      <w:pPr>
        <w:jc w:val="left"/>
        <w:rPr>
          <w:rFonts w:ascii="Arial" w:hAnsi="Arial" w:cs="Arial"/>
          <w:sz w:val="22"/>
          <w:szCs w:val="22"/>
        </w:rPr>
      </w:pPr>
    </w:p>
    <w:p w:rsidR="00011E06" w:rsidRDefault="00232B2A" w:rsidP="00AF45B5">
      <w:pPr>
        <w:spacing w:before="0"/>
        <w:jc w:val="left"/>
        <w:rPr>
          <w:rFonts w:ascii="Arial" w:hAnsi="Arial" w:cs="Arial"/>
          <w:sz w:val="22"/>
          <w:szCs w:val="22"/>
        </w:rPr>
      </w:pPr>
      <w:r>
        <w:rPr>
          <w:rFonts w:ascii="Arial" w:hAnsi="Arial" w:cs="Arial"/>
          <w:sz w:val="22"/>
          <w:szCs w:val="22"/>
        </w:rPr>
        <w:t>The site outline (</w:t>
      </w:r>
      <w:r w:rsidRPr="00232B2A">
        <w:rPr>
          <w:rFonts w:ascii="Arial" w:hAnsi="Arial" w:cs="Arial"/>
          <w:i/>
          <w:sz w:val="22"/>
          <w:szCs w:val="22"/>
        </w:rPr>
        <w:t>right</w:t>
      </w:r>
      <w:r>
        <w:rPr>
          <w:rFonts w:ascii="Arial" w:hAnsi="Arial" w:cs="Arial"/>
          <w:sz w:val="22"/>
          <w:szCs w:val="22"/>
        </w:rPr>
        <w:t xml:space="preserve">) shows the </w:t>
      </w:r>
    </w:p>
    <w:p w:rsidR="007E43B6" w:rsidRDefault="00232B2A" w:rsidP="00AF45B5">
      <w:pPr>
        <w:spacing w:before="0"/>
        <w:jc w:val="left"/>
        <w:rPr>
          <w:rFonts w:ascii="Arial" w:hAnsi="Arial" w:cs="Arial"/>
          <w:sz w:val="22"/>
          <w:szCs w:val="22"/>
        </w:rPr>
      </w:pPr>
      <w:r>
        <w:rPr>
          <w:rFonts w:ascii="Arial" w:hAnsi="Arial" w:cs="Arial"/>
          <w:sz w:val="22"/>
          <w:szCs w:val="22"/>
        </w:rPr>
        <w:t xml:space="preserve">proposed rezoning </w:t>
      </w:r>
      <w:r w:rsidR="007E43B6">
        <w:rPr>
          <w:rFonts w:ascii="Arial" w:hAnsi="Arial" w:cs="Arial"/>
          <w:sz w:val="22"/>
          <w:szCs w:val="22"/>
        </w:rPr>
        <w:t xml:space="preserve">(black dotted </w:t>
      </w:r>
    </w:p>
    <w:p w:rsidR="007E43B6" w:rsidRDefault="007E43B6" w:rsidP="00AF45B5">
      <w:pPr>
        <w:spacing w:before="0"/>
        <w:jc w:val="left"/>
        <w:rPr>
          <w:rFonts w:ascii="Arial" w:hAnsi="Arial" w:cs="Arial"/>
          <w:sz w:val="22"/>
          <w:szCs w:val="22"/>
        </w:rPr>
      </w:pPr>
      <w:r>
        <w:rPr>
          <w:rFonts w:ascii="Arial" w:hAnsi="Arial" w:cs="Arial"/>
          <w:sz w:val="22"/>
          <w:szCs w:val="22"/>
        </w:rPr>
        <w:t xml:space="preserve">area) </w:t>
      </w:r>
      <w:r w:rsidR="00011E06">
        <w:rPr>
          <w:rFonts w:ascii="Arial" w:hAnsi="Arial" w:cs="Arial"/>
          <w:sz w:val="22"/>
          <w:szCs w:val="22"/>
        </w:rPr>
        <w:t>and DPO extent</w:t>
      </w:r>
      <w:r>
        <w:rPr>
          <w:rFonts w:ascii="Arial" w:hAnsi="Arial" w:cs="Arial"/>
          <w:sz w:val="22"/>
          <w:szCs w:val="22"/>
        </w:rPr>
        <w:t xml:space="preserve"> (</w:t>
      </w:r>
      <w:r w:rsidR="00232B2A">
        <w:rPr>
          <w:rFonts w:ascii="Arial" w:hAnsi="Arial" w:cs="Arial"/>
          <w:sz w:val="22"/>
          <w:szCs w:val="22"/>
        </w:rPr>
        <w:t xml:space="preserve">red </w:t>
      </w:r>
    </w:p>
    <w:p w:rsidR="00232B2A" w:rsidRPr="00F27102" w:rsidRDefault="00232B2A" w:rsidP="00AF45B5">
      <w:pPr>
        <w:spacing w:before="0"/>
        <w:jc w:val="left"/>
        <w:rPr>
          <w:rFonts w:ascii="Arial" w:hAnsi="Arial" w:cs="Arial"/>
          <w:sz w:val="22"/>
          <w:szCs w:val="22"/>
        </w:rPr>
      </w:pPr>
      <w:r>
        <w:rPr>
          <w:rFonts w:ascii="Arial" w:hAnsi="Arial" w:cs="Arial"/>
          <w:sz w:val="22"/>
          <w:szCs w:val="22"/>
        </w:rPr>
        <w:t>dashed outline</w:t>
      </w:r>
      <w:r w:rsidR="007E43B6">
        <w:rPr>
          <w:rFonts w:ascii="Arial" w:hAnsi="Arial" w:cs="Arial"/>
          <w:sz w:val="22"/>
          <w:szCs w:val="22"/>
        </w:rPr>
        <w:t>)</w:t>
      </w:r>
      <w:r>
        <w:rPr>
          <w:rFonts w:ascii="Arial" w:hAnsi="Arial" w:cs="Arial"/>
          <w:sz w:val="22"/>
          <w:szCs w:val="22"/>
        </w:rPr>
        <w:t xml:space="preserve">. </w:t>
      </w:r>
    </w:p>
    <w:p w:rsidR="005D21F9" w:rsidRDefault="005D21F9" w:rsidP="00232B2A">
      <w:pPr>
        <w:pStyle w:val="Heading2"/>
        <w:spacing w:before="0"/>
        <w:jc w:val="left"/>
        <w:rPr>
          <w:rFonts w:cs="Arial"/>
          <w:b w:val="0"/>
          <w:szCs w:val="24"/>
        </w:rPr>
      </w:pPr>
    </w:p>
    <w:p w:rsidR="007E43B6" w:rsidRDefault="007E43B6" w:rsidP="00232B2A">
      <w:pPr>
        <w:pStyle w:val="Heading2"/>
        <w:spacing w:before="0"/>
        <w:jc w:val="left"/>
        <w:rPr>
          <w:rFonts w:cs="Arial"/>
          <w:b w:val="0"/>
          <w:szCs w:val="24"/>
        </w:rPr>
      </w:pPr>
    </w:p>
    <w:p w:rsidR="007E43B6" w:rsidRDefault="007E43B6" w:rsidP="00232B2A">
      <w:pPr>
        <w:pStyle w:val="Heading2"/>
        <w:spacing w:before="0"/>
        <w:jc w:val="left"/>
        <w:rPr>
          <w:rFonts w:cs="Arial"/>
          <w:b w:val="0"/>
          <w:szCs w:val="24"/>
        </w:rPr>
      </w:pPr>
    </w:p>
    <w:p w:rsidR="00232B2A" w:rsidRPr="00232B2A" w:rsidRDefault="00232B2A" w:rsidP="00232B2A">
      <w:pPr>
        <w:spacing w:before="0"/>
        <w:jc w:val="left"/>
        <w:rPr>
          <w:rFonts w:ascii="Arial" w:hAnsi="Arial" w:cs="Arial"/>
          <w:szCs w:val="24"/>
        </w:rPr>
      </w:pPr>
    </w:p>
    <w:p w:rsidR="005D21F9" w:rsidRPr="00232B2A" w:rsidRDefault="005D21F9" w:rsidP="00232B2A">
      <w:pPr>
        <w:pStyle w:val="Heading2"/>
        <w:spacing w:before="0"/>
        <w:jc w:val="left"/>
        <w:rPr>
          <w:rFonts w:cs="Arial"/>
          <w:b w:val="0"/>
          <w:szCs w:val="24"/>
        </w:rPr>
      </w:pPr>
    </w:p>
    <w:p w:rsidR="005D21F9" w:rsidRPr="00232B2A" w:rsidRDefault="005D21F9" w:rsidP="00232B2A">
      <w:pPr>
        <w:pStyle w:val="Heading2"/>
        <w:spacing w:before="0"/>
        <w:jc w:val="left"/>
        <w:rPr>
          <w:rFonts w:cs="Arial"/>
          <w:b w:val="0"/>
          <w:szCs w:val="24"/>
        </w:rPr>
      </w:pPr>
    </w:p>
    <w:p w:rsidR="005D21F9" w:rsidRPr="00232B2A" w:rsidRDefault="005D21F9" w:rsidP="00232B2A">
      <w:pPr>
        <w:pStyle w:val="Heading2"/>
        <w:spacing w:before="0"/>
        <w:jc w:val="left"/>
        <w:rPr>
          <w:rFonts w:cs="Arial"/>
          <w:b w:val="0"/>
          <w:szCs w:val="24"/>
        </w:rPr>
      </w:pPr>
    </w:p>
    <w:p w:rsidR="005D21F9" w:rsidRPr="00232B2A" w:rsidRDefault="005D21F9" w:rsidP="00232B2A">
      <w:pPr>
        <w:pStyle w:val="Heading2"/>
        <w:spacing w:before="0"/>
        <w:jc w:val="left"/>
        <w:rPr>
          <w:rFonts w:cs="Arial"/>
          <w:b w:val="0"/>
          <w:szCs w:val="24"/>
        </w:rPr>
      </w:pPr>
    </w:p>
    <w:p w:rsidR="005D21F9" w:rsidRDefault="005D21F9" w:rsidP="00232B2A">
      <w:pPr>
        <w:pStyle w:val="Heading2"/>
        <w:spacing w:before="0"/>
        <w:jc w:val="left"/>
        <w:rPr>
          <w:rFonts w:cs="Arial"/>
          <w:b w:val="0"/>
          <w:szCs w:val="24"/>
        </w:rPr>
      </w:pPr>
    </w:p>
    <w:p w:rsidR="00232B2A" w:rsidRPr="00232B2A" w:rsidRDefault="00232B2A" w:rsidP="00232B2A">
      <w:pPr>
        <w:spacing w:before="0"/>
        <w:jc w:val="left"/>
        <w:rPr>
          <w:rFonts w:ascii="Arial" w:hAnsi="Arial" w:cs="Arial"/>
          <w:szCs w:val="24"/>
        </w:rPr>
      </w:pPr>
    </w:p>
    <w:p w:rsidR="00232B2A" w:rsidRPr="00232B2A" w:rsidRDefault="00232B2A" w:rsidP="00232B2A">
      <w:pPr>
        <w:spacing w:before="0"/>
        <w:jc w:val="left"/>
        <w:rPr>
          <w:rFonts w:ascii="Arial" w:hAnsi="Arial" w:cs="Arial"/>
          <w:szCs w:val="24"/>
        </w:rPr>
      </w:pPr>
    </w:p>
    <w:p w:rsidR="00232B2A" w:rsidRPr="00232B2A" w:rsidRDefault="00232B2A" w:rsidP="00232B2A">
      <w:pPr>
        <w:spacing w:before="0"/>
        <w:jc w:val="left"/>
        <w:rPr>
          <w:rFonts w:ascii="Arial" w:hAnsi="Arial" w:cs="Arial"/>
          <w:szCs w:val="24"/>
        </w:rPr>
      </w:pPr>
    </w:p>
    <w:p w:rsidR="00232B2A" w:rsidRPr="00232B2A" w:rsidRDefault="00232B2A" w:rsidP="00232B2A">
      <w:pPr>
        <w:spacing w:before="0"/>
        <w:jc w:val="left"/>
        <w:rPr>
          <w:rFonts w:ascii="Arial" w:hAnsi="Arial" w:cs="Arial"/>
          <w:szCs w:val="24"/>
        </w:rPr>
      </w:pPr>
    </w:p>
    <w:p w:rsidR="00232B2A" w:rsidRPr="00232B2A" w:rsidRDefault="00232B2A" w:rsidP="00232B2A">
      <w:pPr>
        <w:spacing w:before="0"/>
        <w:jc w:val="left"/>
        <w:rPr>
          <w:rFonts w:ascii="Arial" w:hAnsi="Arial" w:cs="Arial"/>
          <w:szCs w:val="24"/>
        </w:rPr>
      </w:pPr>
    </w:p>
    <w:p w:rsidR="00232B2A" w:rsidRPr="00232B2A" w:rsidRDefault="00232B2A" w:rsidP="00232B2A">
      <w:pPr>
        <w:spacing w:before="0"/>
        <w:jc w:val="left"/>
        <w:rPr>
          <w:rFonts w:ascii="Arial" w:hAnsi="Arial" w:cs="Arial"/>
          <w:szCs w:val="24"/>
        </w:rPr>
      </w:pPr>
    </w:p>
    <w:p w:rsidR="00232B2A" w:rsidRDefault="00232B2A" w:rsidP="00232B2A">
      <w:pPr>
        <w:spacing w:before="0"/>
        <w:jc w:val="left"/>
        <w:rPr>
          <w:rFonts w:ascii="Arial" w:hAnsi="Arial" w:cs="Arial"/>
          <w:szCs w:val="24"/>
        </w:rPr>
      </w:pPr>
    </w:p>
    <w:p w:rsidR="00011E06" w:rsidRDefault="00011E06" w:rsidP="00232B2A">
      <w:pPr>
        <w:spacing w:before="0"/>
        <w:jc w:val="left"/>
        <w:rPr>
          <w:rFonts w:ascii="Arial" w:hAnsi="Arial" w:cs="Arial"/>
          <w:szCs w:val="24"/>
        </w:rPr>
      </w:pPr>
    </w:p>
    <w:p w:rsidR="00011E06" w:rsidRDefault="00011E06" w:rsidP="00232B2A">
      <w:pPr>
        <w:spacing w:before="0"/>
        <w:jc w:val="left"/>
        <w:rPr>
          <w:rFonts w:ascii="Arial" w:hAnsi="Arial" w:cs="Arial"/>
          <w:szCs w:val="24"/>
        </w:rPr>
      </w:pPr>
    </w:p>
    <w:p w:rsidR="00011E06" w:rsidRPr="00232B2A" w:rsidRDefault="00011E06" w:rsidP="00232B2A">
      <w:pPr>
        <w:spacing w:before="0"/>
        <w:jc w:val="left"/>
        <w:rPr>
          <w:rFonts w:ascii="Arial" w:hAnsi="Arial" w:cs="Arial"/>
          <w:szCs w:val="24"/>
        </w:rPr>
      </w:pPr>
    </w:p>
    <w:p w:rsidR="00232B2A" w:rsidRPr="00232B2A" w:rsidRDefault="00232B2A" w:rsidP="00232B2A">
      <w:pPr>
        <w:spacing w:before="0"/>
        <w:jc w:val="left"/>
        <w:rPr>
          <w:rFonts w:ascii="Arial" w:hAnsi="Arial" w:cs="Arial"/>
          <w:szCs w:val="24"/>
        </w:rPr>
      </w:pPr>
    </w:p>
    <w:p w:rsidR="00A068E6" w:rsidRPr="00823BB7" w:rsidRDefault="00814A45" w:rsidP="008310E5">
      <w:pPr>
        <w:pStyle w:val="Heading2"/>
        <w:jc w:val="left"/>
        <w:rPr>
          <w:rFonts w:cs="Arial"/>
        </w:rPr>
      </w:pPr>
      <w:r w:rsidRPr="00823BB7">
        <w:rPr>
          <w:rFonts w:cs="Arial"/>
        </w:rPr>
        <w:lastRenderedPageBreak/>
        <w:t>What the amendment does</w:t>
      </w:r>
    </w:p>
    <w:p w:rsidR="00F34289" w:rsidRDefault="00855A78" w:rsidP="008310E5">
      <w:pPr>
        <w:jc w:val="left"/>
        <w:rPr>
          <w:rFonts w:ascii="Arial" w:hAnsi="Arial" w:cs="Arial"/>
          <w:sz w:val="22"/>
          <w:szCs w:val="22"/>
        </w:rPr>
      </w:pPr>
      <w:r>
        <w:rPr>
          <w:rFonts w:ascii="Arial" w:hAnsi="Arial" w:cs="Arial"/>
          <w:sz w:val="22"/>
          <w:szCs w:val="22"/>
        </w:rPr>
        <w:t xml:space="preserve">The </w:t>
      </w:r>
      <w:r w:rsidR="00AF45B5">
        <w:rPr>
          <w:rFonts w:ascii="Arial" w:hAnsi="Arial" w:cs="Arial"/>
          <w:sz w:val="22"/>
          <w:szCs w:val="22"/>
        </w:rPr>
        <w:t>amendment</w:t>
      </w:r>
      <w:r w:rsidR="00F34289">
        <w:rPr>
          <w:rFonts w:ascii="Arial" w:hAnsi="Arial" w:cs="Arial"/>
          <w:sz w:val="22"/>
          <w:szCs w:val="22"/>
        </w:rPr>
        <w:t>;</w:t>
      </w:r>
    </w:p>
    <w:p w:rsidR="00F34289" w:rsidRPr="00232B2A" w:rsidRDefault="00F34289" w:rsidP="00F34289">
      <w:pPr>
        <w:numPr>
          <w:ilvl w:val="0"/>
          <w:numId w:val="45"/>
        </w:numPr>
        <w:tabs>
          <w:tab w:val="left" w:pos="851"/>
        </w:tabs>
        <w:ind w:left="851" w:hanging="431"/>
        <w:jc w:val="left"/>
        <w:rPr>
          <w:rFonts w:ascii="Arial" w:hAnsi="Arial" w:cs="Arial"/>
          <w:sz w:val="22"/>
          <w:szCs w:val="22"/>
        </w:rPr>
      </w:pPr>
      <w:r>
        <w:rPr>
          <w:rFonts w:ascii="Arial" w:hAnsi="Arial" w:cs="Arial"/>
          <w:sz w:val="22"/>
          <w:szCs w:val="22"/>
        </w:rPr>
        <w:t xml:space="preserve">Rezones </w:t>
      </w:r>
      <w:r w:rsidR="0075100B">
        <w:rPr>
          <w:rFonts w:ascii="Arial" w:hAnsi="Arial" w:cs="Arial"/>
          <w:sz w:val="22"/>
          <w:szCs w:val="22"/>
        </w:rPr>
        <w:t xml:space="preserve">part of </w:t>
      </w:r>
      <w:r>
        <w:rPr>
          <w:rFonts w:ascii="Arial" w:hAnsi="Arial" w:cs="Arial"/>
          <w:sz w:val="22"/>
          <w:szCs w:val="22"/>
        </w:rPr>
        <w:t>77 Gibson Street, (</w:t>
      </w:r>
      <w:r w:rsidRPr="00F34289">
        <w:rPr>
          <w:rFonts w:ascii="Arial" w:hAnsi="Arial" w:cs="Arial"/>
          <w:sz w:val="22"/>
          <w:szCs w:val="22"/>
        </w:rPr>
        <w:t xml:space="preserve">L1 </w:t>
      </w:r>
      <w:r w:rsidRPr="00232B2A">
        <w:rPr>
          <w:rFonts w:ascii="Arial" w:hAnsi="Arial" w:cs="Arial"/>
          <w:sz w:val="22"/>
          <w:szCs w:val="22"/>
        </w:rPr>
        <w:t xml:space="preserve">PS404151C (Vol. 10381, Folio 343, </w:t>
      </w:r>
      <w:r w:rsidR="005658BB">
        <w:rPr>
          <w:rFonts w:ascii="Arial" w:hAnsi="Arial" w:cs="Arial"/>
          <w:sz w:val="22"/>
          <w:szCs w:val="22"/>
        </w:rPr>
        <w:t xml:space="preserve">approx. </w:t>
      </w:r>
      <w:r w:rsidRPr="00232B2A">
        <w:rPr>
          <w:rFonts w:ascii="Arial" w:hAnsi="Arial" w:cs="Arial"/>
          <w:sz w:val="22"/>
          <w:szCs w:val="22"/>
        </w:rPr>
        <w:t xml:space="preserve">12ha) from Farming Zone to General Residential Zone. </w:t>
      </w:r>
    </w:p>
    <w:p w:rsidR="00F349BD" w:rsidRPr="00232B2A" w:rsidRDefault="00F34289" w:rsidP="00F349BD">
      <w:pPr>
        <w:numPr>
          <w:ilvl w:val="0"/>
          <w:numId w:val="45"/>
        </w:numPr>
        <w:tabs>
          <w:tab w:val="left" w:pos="851"/>
        </w:tabs>
        <w:jc w:val="left"/>
        <w:rPr>
          <w:rFonts w:ascii="Arial" w:hAnsi="Arial" w:cs="Arial"/>
          <w:sz w:val="22"/>
          <w:szCs w:val="22"/>
        </w:rPr>
      </w:pPr>
      <w:r w:rsidRPr="00232B2A">
        <w:rPr>
          <w:rFonts w:ascii="Arial" w:hAnsi="Arial" w:cs="Arial"/>
          <w:sz w:val="22"/>
          <w:szCs w:val="22"/>
        </w:rPr>
        <w:t xml:space="preserve">Applies </w:t>
      </w:r>
      <w:r w:rsidR="00BD5529">
        <w:rPr>
          <w:rFonts w:ascii="Arial" w:hAnsi="Arial" w:cs="Arial"/>
          <w:sz w:val="22"/>
          <w:szCs w:val="22"/>
        </w:rPr>
        <w:t>a</w:t>
      </w:r>
      <w:r w:rsidRPr="00232B2A">
        <w:rPr>
          <w:rFonts w:ascii="Arial" w:hAnsi="Arial" w:cs="Arial"/>
          <w:sz w:val="22"/>
          <w:szCs w:val="22"/>
        </w:rPr>
        <w:t xml:space="preserve"> Development Plan Overlay </w:t>
      </w:r>
      <w:r w:rsidR="00054E0A">
        <w:rPr>
          <w:rFonts w:ascii="Arial" w:hAnsi="Arial" w:cs="Arial"/>
          <w:sz w:val="22"/>
          <w:szCs w:val="22"/>
        </w:rPr>
        <w:t xml:space="preserve">(DPO) </w:t>
      </w:r>
      <w:r w:rsidRPr="00232B2A">
        <w:rPr>
          <w:rFonts w:ascii="Arial" w:hAnsi="Arial" w:cs="Arial"/>
          <w:sz w:val="22"/>
          <w:szCs w:val="22"/>
        </w:rPr>
        <w:t>to</w:t>
      </w:r>
      <w:r w:rsidR="0075100B">
        <w:rPr>
          <w:rFonts w:ascii="Arial" w:hAnsi="Arial" w:cs="Arial"/>
          <w:sz w:val="22"/>
          <w:szCs w:val="22"/>
        </w:rPr>
        <w:t xml:space="preserve"> 77 Gibson Street, specifically, </w:t>
      </w:r>
      <w:r w:rsidRPr="00232B2A">
        <w:rPr>
          <w:rFonts w:ascii="Arial" w:hAnsi="Arial" w:cs="Arial"/>
          <w:sz w:val="22"/>
          <w:szCs w:val="22"/>
        </w:rPr>
        <w:t>lots;</w:t>
      </w:r>
      <w:r w:rsidR="00F349BD" w:rsidRPr="00232B2A">
        <w:t xml:space="preserve"> </w:t>
      </w:r>
    </w:p>
    <w:p w:rsidR="00F349BD" w:rsidRDefault="00F349BD" w:rsidP="00F349BD">
      <w:pPr>
        <w:numPr>
          <w:ilvl w:val="0"/>
          <w:numId w:val="45"/>
        </w:numPr>
        <w:tabs>
          <w:tab w:val="left" w:pos="1276"/>
        </w:tabs>
        <w:ind w:left="1276"/>
        <w:jc w:val="left"/>
        <w:rPr>
          <w:rFonts w:ascii="Arial" w:hAnsi="Arial" w:cs="Arial"/>
          <w:sz w:val="22"/>
          <w:szCs w:val="22"/>
        </w:rPr>
      </w:pPr>
      <w:r w:rsidRPr="00232B2A">
        <w:rPr>
          <w:rFonts w:ascii="Arial" w:hAnsi="Arial" w:cs="Arial"/>
          <w:sz w:val="22"/>
          <w:szCs w:val="22"/>
        </w:rPr>
        <w:t>L1 PS404151C (Vol. 10381, Folio 343,</w:t>
      </w:r>
      <w:r w:rsidRPr="00F34289">
        <w:rPr>
          <w:rFonts w:ascii="Arial" w:hAnsi="Arial" w:cs="Arial"/>
          <w:sz w:val="22"/>
          <w:szCs w:val="22"/>
        </w:rPr>
        <w:t xml:space="preserve"> 12ha)</w:t>
      </w:r>
    </w:p>
    <w:p w:rsidR="005658BB" w:rsidRDefault="005658BB" w:rsidP="005658BB">
      <w:pPr>
        <w:numPr>
          <w:ilvl w:val="0"/>
          <w:numId w:val="45"/>
        </w:numPr>
        <w:tabs>
          <w:tab w:val="left" w:pos="1276"/>
        </w:tabs>
        <w:ind w:left="1276"/>
        <w:jc w:val="left"/>
        <w:rPr>
          <w:rFonts w:ascii="Arial" w:hAnsi="Arial" w:cs="Arial"/>
          <w:sz w:val="22"/>
          <w:szCs w:val="22"/>
        </w:rPr>
      </w:pPr>
      <w:r w:rsidRPr="00F349BD">
        <w:rPr>
          <w:rFonts w:ascii="Arial" w:hAnsi="Arial" w:cs="Arial"/>
          <w:sz w:val="22"/>
          <w:szCs w:val="22"/>
        </w:rPr>
        <w:t xml:space="preserve">L2 PS404151C (Vol. 10381, </w:t>
      </w:r>
      <w:r>
        <w:rPr>
          <w:rFonts w:ascii="Arial" w:hAnsi="Arial" w:cs="Arial"/>
          <w:sz w:val="22"/>
          <w:szCs w:val="22"/>
        </w:rPr>
        <w:t>Folio 344, 28.3ha)</w:t>
      </w:r>
    </w:p>
    <w:p w:rsidR="00F349BD" w:rsidRPr="00F349BD" w:rsidRDefault="00F349BD" w:rsidP="00F349BD">
      <w:pPr>
        <w:numPr>
          <w:ilvl w:val="0"/>
          <w:numId w:val="45"/>
        </w:numPr>
        <w:tabs>
          <w:tab w:val="left" w:pos="1276"/>
        </w:tabs>
        <w:ind w:left="1276"/>
        <w:jc w:val="left"/>
        <w:rPr>
          <w:rFonts w:ascii="Arial" w:hAnsi="Arial" w:cs="Arial"/>
          <w:sz w:val="22"/>
          <w:szCs w:val="22"/>
        </w:rPr>
      </w:pPr>
      <w:r w:rsidRPr="00F349BD">
        <w:rPr>
          <w:rFonts w:ascii="Arial" w:hAnsi="Arial" w:cs="Arial"/>
          <w:sz w:val="22"/>
          <w:szCs w:val="22"/>
        </w:rPr>
        <w:t xml:space="preserve">L1 PS330446R (Vol. 10177, Folio 076, 0.8ha), </w:t>
      </w:r>
    </w:p>
    <w:p w:rsidR="005658BB" w:rsidRPr="00F349BD" w:rsidRDefault="005658BB" w:rsidP="005658BB">
      <w:pPr>
        <w:numPr>
          <w:ilvl w:val="0"/>
          <w:numId w:val="45"/>
        </w:numPr>
        <w:tabs>
          <w:tab w:val="left" w:pos="1276"/>
        </w:tabs>
        <w:ind w:left="1276"/>
        <w:jc w:val="left"/>
        <w:rPr>
          <w:rFonts w:ascii="Arial" w:hAnsi="Arial" w:cs="Arial"/>
          <w:sz w:val="22"/>
          <w:szCs w:val="22"/>
        </w:rPr>
      </w:pPr>
      <w:r w:rsidRPr="00F349BD">
        <w:rPr>
          <w:rFonts w:ascii="Arial" w:hAnsi="Arial" w:cs="Arial"/>
          <w:sz w:val="22"/>
          <w:szCs w:val="22"/>
        </w:rPr>
        <w:t xml:space="preserve">Part L2 PS330446R (Vol. 10177, Folio 077, approx. 17.2ha), </w:t>
      </w:r>
    </w:p>
    <w:p w:rsidR="008F4A5F" w:rsidRPr="008F4A5F" w:rsidRDefault="008F4A5F" w:rsidP="008F4A5F">
      <w:pPr>
        <w:numPr>
          <w:ilvl w:val="0"/>
          <w:numId w:val="45"/>
        </w:numPr>
        <w:tabs>
          <w:tab w:val="left" w:pos="851"/>
        </w:tabs>
        <w:ind w:left="851" w:hanging="431"/>
        <w:jc w:val="left"/>
        <w:rPr>
          <w:rFonts w:ascii="Arial" w:hAnsi="Arial" w:cs="Arial"/>
          <w:sz w:val="22"/>
          <w:szCs w:val="22"/>
        </w:rPr>
      </w:pPr>
      <w:r w:rsidRPr="008F4A5F">
        <w:rPr>
          <w:rFonts w:ascii="Arial" w:hAnsi="Arial" w:cs="Arial"/>
          <w:sz w:val="22"/>
          <w:szCs w:val="22"/>
        </w:rPr>
        <w:t xml:space="preserve">Remove Environmental Significance Overlay 5 (Erosion) from the proposed DPO area and </w:t>
      </w:r>
    </w:p>
    <w:p w:rsidR="008F4A5F" w:rsidRPr="00F349BD" w:rsidRDefault="008F4A5F" w:rsidP="008F4A5F">
      <w:pPr>
        <w:numPr>
          <w:ilvl w:val="0"/>
          <w:numId w:val="45"/>
        </w:numPr>
        <w:tabs>
          <w:tab w:val="left" w:pos="851"/>
        </w:tabs>
        <w:ind w:left="851" w:hanging="431"/>
        <w:jc w:val="left"/>
        <w:rPr>
          <w:rFonts w:ascii="Arial" w:hAnsi="Arial" w:cs="Arial"/>
          <w:sz w:val="22"/>
          <w:szCs w:val="22"/>
        </w:rPr>
      </w:pPr>
      <w:r w:rsidRPr="008F4A5F">
        <w:rPr>
          <w:rFonts w:ascii="Arial" w:hAnsi="Arial" w:cs="Arial"/>
          <w:sz w:val="22"/>
          <w:szCs w:val="22"/>
        </w:rPr>
        <w:t>Remove Environmental Significance Overlay 6 (Flooding) from the proposed DPO area</w:t>
      </w:r>
    </w:p>
    <w:p w:rsidR="00A068E6" w:rsidRPr="00823BB7" w:rsidRDefault="00A068E6" w:rsidP="008310E5">
      <w:pPr>
        <w:pStyle w:val="Heading2"/>
        <w:jc w:val="left"/>
        <w:rPr>
          <w:rFonts w:cs="Arial"/>
          <w:smallCaps/>
        </w:rPr>
      </w:pPr>
      <w:r w:rsidRPr="00823BB7">
        <w:rPr>
          <w:rFonts w:cs="Arial"/>
        </w:rPr>
        <w:t xml:space="preserve">Strategic assessment of the </w:t>
      </w:r>
      <w:r w:rsidR="00855A78">
        <w:rPr>
          <w:rFonts w:cs="Arial"/>
        </w:rPr>
        <w:t>A</w:t>
      </w:r>
      <w:r w:rsidRPr="00823BB7">
        <w:rPr>
          <w:rFonts w:cs="Arial"/>
        </w:rPr>
        <w:t xml:space="preserve">mendment </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t>Why is the A</w:t>
      </w:r>
      <w:r w:rsidR="00A068E6" w:rsidRPr="00420A5B">
        <w:rPr>
          <w:rFonts w:ascii="Arial" w:hAnsi="Arial" w:cs="Arial"/>
          <w:szCs w:val="24"/>
        </w:rPr>
        <w:t>mendment required?</w:t>
      </w:r>
    </w:p>
    <w:p w:rsidR="00A068E6" w:rsidRPr="006109DA" w:rsidRDefault="00584896" w:rsidP="008310E5">
      <w:pPr>
        <w:pStyle w:val="StrategicAssessmentText"/>
        <w:ind w:left="0"/>
        <w:jc w:val="left"/>
        <w:rPr>
          <w:rFonts w:ascii="Arial" w:hAnsi="Arial" w:cs="Arial"/>
          <w:sz w:val="22"/>
          <w:szCs w:val="22"/>
        </w:rPr>
      </w:pPr>
      <w:r>
        <w:rPr>
          <w:rFonts w:ascii="Arial" w:hAnsi="Arial" w:cs="Arial"/>
          <w:sz w:val="22"/>
          <w:szCs w:val="22"/>
        </w:rPr>
        <w:t xml:space="preserve">An </w:t>
      </w:r>
      <w:r w:rsidR="00AF45B5">
        <w:rPr>
          <w:rFonts w:ascii="Arial" w:hAnsi="Arial" w:cs="Arial"/>
          <w:sz w:val="22"/>
          <w:szCs w:val="22"/>
        </w:rPr>
        <w:t>amendment</w:t>
      </w:r>
      <w:r>
        <w:rPr>
          <w:rFonts w:ascii="Arial" w:hAnsi="Arial" w:cs="Arial"/>
          <w:sz w:val="22"/>
          <w:szCs w:val="22"/>
        </w:rPr>
        <w:t xml:space="preserve"> is required to change </w:t>
      </w:r>
      <w:r w:rsidR="008A2503">
        <w:rPr>
          <w:rFonts w:ascii="Arial" w:hAnsi="Arial" w:cs="Arial"/>
          <w:sz w:val="22"/>
          <w:szCs w:val="22"/>
        </w:rPr>
        <w:t>the zon</w:t>
      </w:r>
      <w:r w:rsidR="00582796">
        <w:rPr>
          <w:rFonts w:ascii="Arial" w:hAnsi="Arial" w:cs="Arial"/>
          <w:sz w:val="22"/>
          <w:szCs w:val="22"/>
        </w:rPr>
        <w:t>e</w:t>
      </w:r>
      <w:r w:rsidR="008A2503">
        <w:rPr>
          <w:rFonts w:ascii="Arial" w:hAnsi="Arial" w:cs="Arial"/>
          <w:sz w:val="22"/>
          <w:szCs w:val="22"/>
        </w:rPr>
        <w:t xml:space="preserve"> of the </w:t>
      </w:r>
      <w:r>
        <w:rPr>
          <w:rFonts w:ascii="Arial" w:hAnsi="Arial" w:cs="Arial"/>
          <w:sz w:val="22"/>
          <w:szCs w:val="22"/>
        </w:rPr>
        <w:t xml:space="preserve">subject land and apply </w:t>
      </w:r>
      <w:r w:rsidR="008A2503">
        <w:rPr>
          <w:rFonts w:ascii="Arial" w:hAnsi="Arial" w:cs="Arial"/>
          <w:sz w:val="22"/>
          <w:szCs w:val="22"/>
        </w:rPr>
        <w:t>a</w:t>
      </w:r>
      <w:r>
        <w:rPr>
          <w:rFonts w:ascii="Arial" w:hAnsi="Arial" w:cs="Arial"/>
          <w:sz w:val="22"/>
          <w:szCs w:val="22"/>
        </w:rPr>
        <w:t xml:space="preserve"> DPO </w:t>
      </w:r>
      <w:r w:rsidR="008A2503">
        <w:rPr>
          <w:rFonts w:ascii="Arial" w:hAnsi="Arial" w:cs="Arial"/>
          <w:sz w:val="22"/>
          <w:szCs w:val="22"/>
        </w:rPr>
        <w:t>to lots identified in the Planning Scheme as Urban Expansion Area. These changes will</w:t>
      </w:r>
      <w:r>
        <w:rPr>
          <w:rFonts w:ascii="Arial" w:hAnsi="Arial" w:cs="Arial"/>
          <w:sz w:val="22"/>
          <w:szCs w:val="22"/>
        </w:rPr>
        <w:t xml:space="preserve"> </w:t>
      </w:r>
      <w:r w:rsidR="008A2503">
        <w:rPr>
          <w:rFonts w:ascii="Arial" w:hAnsi="Arial" w:cs="Arial"/>
          <w:sz w:val="22"/>
          <w:szCs w:val="22"/>
        </w:rPr>
        <w:t xml:space="preserve">allow residential development of the site. </w:t>
      </w:r>
    </w:p>
    <w:p w:rsidR="00582796" w:rsidRDefault="00855A78" w:rsidP="00582796">
      <w:pPr>
        <w:pStyle w:val="Heading3"/>
        <w:numPr>
          <w:ilvl w:val="0"/>
          <w:numId w:val="0"/>
        </w:numPr>
        <w:jc w:val="left"/>
        <w:rPr>
          <w:rFonts w:ascii="Arial" w:hAnsi="Arial" w:cs="Arial"/>
          <w:szCs w:val="24"/>
        </w:rPr>
      </w:pPr>
      <w:r>
        <w:rPr>
          <w:rFonts w:ascii="Arial" w:hAnsi="Arial" w:cs="Arial"/>
          <w:szCs w:val="24"/>
        </w:rPr>
        <w:t>How does the A</w:t>
      </w:r>
      <w:r w:rsidR="00A068E6" w:rsidRPr="00420A5B">
        <w:rPr>
          <w:rFonts w:ascii="Arial" w:hAnsi="Arial" w:cs="Arial"/>
          <w:szCs w:val="24"/>
        </w:rPr>
        <w:t>mendment implement the objectives of planning in Victoria?</w:t>
      </w:r>
    </w:p>
    <w:p w:rsidR="00582796" w:rsidRPr="00582796" w:rsidRDefault="00582796" w:rsidP="00582796">
      <w:pPr>
        <w:pStyle w:val="Heading3"/>
        <w:numPr>
          <w:ilvl w:val="0"/>
          <w:numId w:val="0"/>
        </w:numPr>
        <w:jc w:val="left"/>
        <w:rPr>
          <w:rFonts w:ascii="Arial" w:hAnsi="Arial" w:cs="Arial"/>
          <w:b w:val="0"/>
          <w:szCs w:val="24"/>
        </w:rPr>
      </w:pPr>
      <w:r w:rsidRPr="00582796">
        <w:rPr>
          <w:rFonts w:ascii="Arial" w:hAnsi="Arial" w:cs="Arial"/>
          <w:b w:val="0"/>
          <w:szCs w:val="24"/>
        </w:rPr>
        <w:t>The amendment implements the objectives for planning in Victoria set out at Section 4 (1) of</w:t>
      </w:r>
      <w:r>
        <w:rPr>
          <w:rFonts w:ascii="Arial" w:hAnsi="Arial" w:cs="Arial"/>
          <w:b w:val="0"/>
          <w:szCs w:val="24"/>
        </w:rPr>
        <w:t xml:space="preserve"> </w:t>
      </w:r>
      <w:r w:rsidRPr="00582796">
        <w:rPr>
          <w:rFonts w:ascii="Arial" w:hAnsi="Arial" w:cs="Arial"/>
          <w:b w:val="0"/>
          <w:szCs w:val="24"/>
        </w:rPr>
        <w:t xml:space="preserve">the </w:t>
      </w:r>
      <w:r w:rsidRPr="00054E0A">
        <w:rPr>
          <w:rFonts w:ascii="Arial" w:hAnsi="Arial" w:cs="Arial"/>
          <w:b w:val="0"/>
          <w:i/>
          <w:szCs w:val="24"/>
        </w:rPr>
        <w:t>Planning and Environment Act 1987</w:t>
      </w:r>
      <w:r>
        <w:rPr>
          <w:rFonts w:ascii="Arial" w:hAnsi="Arial" w:cs="Arial"/>
          <w:b w:val="0"/>
          <w:szCs w:val="24"/>
        </w:rPr>
        <w:t xml:space="preserve">.The </w:t>
      </w:r>
      <w:r w:rsidR="005B08DE">
        <w:rPr>
          <w:rFonts w:ascii="Arial" w:hAnsi="Arial" w:cs="Arial"/>
          <w:b w:val="0"/>
          <w:szCs w:val="24"/>
        </w:rPr>
        <w:t>a</w:t>
      </w:r>
      <w:r>
        <w:rPr>
          <w:rFonts w:ascii="Arial" w:hAnsi="Arial" w:cs="Arial"/>
          <w:b w:val="0"/>
          <w:szCs w:val="24"/>
        </w:rPr>
        <w:t xml:space="preserve">mendment provides </w:t>
      </w:r>
      <w:r w:rsidRPr="00582796">
        <w:rPr>
          <w:rFonts w:ascii="Arial" w:hAnsi="Arial" w:cs="Arial"/>
          <w:b w:val="0"/>
          <w:szCs w:val="24"/>
        </w:rPr>
        <w:t>for fair, orderly, e</w:t>
      </w:r>
      <w:r w:rsidR="00054E0A">
        <w:rPr>
          <w:rFonts w:ascii="Arial" w:hAnsi="Arial" w:cs="Arial"/>
          <w:b w:val="0"/>
          <w:szCs w:val="24"/>
        </w:rPr>
        <w:t xml:space="preserve">conomic, </w:t>
      </w:r>
      <w:r>
        <w:rPr>
          <w:rFonts w:ascii="Arial" w:hAnsi="Arial" w:cs="Arial"/>
          <w:b w:val="0"/>
          <w:szCs w:val="24"/>
        </w:rPr>
        <w:t xml:space="preserve">sustainable use and </w:t>
      </w:r>
      <w:r w:rsidRPr="00582796">
        <w:rPr>
          <w:rFonts w:ascii="Arial" w:hAnsi="Arial" w:cs="Arial"/>
          <w:b w:val="0"/>
          <w:szCs w:val="24"/>
        </w:rPr>
        <w:t>development of land</w:t>
      </w:r>
      <w:r>
        <w:rPr>
          <w:rFonts w:ascii="Arial" w:hAnsi="Arial" w:cs="Arial"/>
          <w:b w:val="0"/>
          <w:szCs w:val="24"/>
        </w:rPr>
        <w:t xml:space="preserve"> </w:t>
      </w:r>
      <w:r w:rsidRPr="00582796">
        <w:rPr>
          <w:rFonts w:ascii="Arial" w:hAnsi="Arial" w:cs="Arial"/>
          <w:b w:val="0"/>
          <w:szCs w:val="24"/>
        </w:rPr>
        <w:t xml:space="preserve">by </w:t>
      </w:r>
      <w:r w:rsidR="00054E0A">
        <w:rPr>
          <w:rFonts w:ascii="Arial" w:hAnsi="Arial" w:cs="Arial"/>
          <w:b w:val="0"/>
          <w:szCs w:val="24"/>
        </w:rPr>
        <w:t>promoting</w:t>
      </w:r>
      <w:r w:rsidRPr="00582796">
        <w:rPr>
          <w:rFonts w:ascii="Arial" w:hAnsi="Arial" w:cs="Arial"/>
          <w:b w:val="0"/>
          <w:szCs w:val="24"/>
        </w:rPr>
        <w:t xml:space="preserve"> township development in a strategically planned, long term manner</w:t>
      </w:r>
      <w:r>
        <w:rPr>
          <w:rFonts w:ascii="Arial" w:hAnsi="Arial" w:cs="Arial"/>
          <w:b w:val="0"/>
          <w:szCs w:val="24"/>
        </w:rPr>
        <w:t xml:space="preserve">. </w:t>
      </w:r>
      <w:r w:rsidRPr="00582796">
        <w:rPr>
          <w:rFonts w:ascii="Arial" w:hAnsi="Arial" w:cs="Arial"/>
          <w:b w:val="0"/>
          <w:szCs w:val="24"/>
        </w:rPr>
        <w:t xml:space="preserve">The subject land lies </w:t>
      </w:r>
      <w:r w:rsidR="005B08DE">
        <w:rPr>
          <w:rFonts w:ascii="Arial" w:hAnsi="Arial" w:cs="Arial"/>
          <w:b w:val="0"/>
          <w:szCs w:val="24"/>
        </w:rPr>
        <w:t xml:space="preserve">within </w:t>
      </w:r>
      <w:r w:rsidRPr="00582796">
        <w:rPr>
          <w:rFonts w:ascii="Arial" w:hAnsi="Arial" w:cs="Arial"/>
          <w:b w:val="0"/>
          <w:szCs w:val="24"/>
        </w:rPr>
        <w:t>the existing township boundary</w:t>
      </w:r>
      <w:r w:rsidR="005B08DE">
        <w:rPr>
          <w:rFonts w:ascii="Arial" w:hAnsi="Arial" w:cs="Arial"/>
          <w:b w:val="0"/>
          <w:szCs w:val="24"/>
        </w:rPr>
        <w:t xml:space="preserve"> and the </w:t>
      </w:r>
      <w:r w:rsidRPr="00582796">
        <w:rPr>
          <w:rFonts w:ascii="Arial" w:hAnsi="Arial" w:cs="Arial"/>
          <w:b w:val="0"/>
          <w:szCs w:val="24"/>
        </w:rPr>
        <w:t>proposed rezoning</w:t>
      </w:r>
      <w:r w:rsidR="005B08DE">
        <w:rPr>
          <w:rFonts w:ascii="Arial" w:hAnsi="Arial" w:cs="Arial"/>
          <w:b w:val="0"/>
          <w:szCs w:val="24"/>
        </w:rPr>
        <w:t xml:space="preserve"> </w:t>
      </w:r>
      <w:r w:rsidRPr="00582796">
        <w:rPr>
          <w:rFonts w:ascii="Arial" w:hAnsi="Arial" w:cs="Arial"/>
          <w:b w:val="0"/>
          <w:szCs w:val="24"/>
        </w:rPr>
        <w:t xml:space="preserve">will facilitate orderly expansion of </w:t>
      </w:r>
      <w:r w:rsidR="005B08DE">
        <w:rPr>
          <w:rFonts w:ascii="Arial" w:hAnsi="Arial" w:cs="Arial"/>
          <w:b w:val="0"/>
          <w:szCs w:val="24"/>
        </w:rPr>
        <w:t xml:space="preserve">Leongatha </w:t>
      </w:r>
      <w:r w:rsidRPr="00582796">
        <w:rPr>
          <w:rFonts w:ascii="Arial" w:hAnsi="Arial" w:cs="Arial"/>
          <w:b w:val="0"/>
          <w:szCs w:val="24"/>
        </w:rPr>
        <w:t xml:space="preserve">consistent with the </w:t>
      </w:r>
      <w:r w:rsidR="005B08DE">
        <w:rPr>
          <w:rFonts w:ascii="Arial" w:hAnsi="Arial" w:cs="Arial"/>
          <w:b w:val="0"/>
          <w:szCs w:val="24"/>
        </w:rPr>
        <w:t xml:space="preserve">Leongatha </w:t>
      </w:r>
      <w:r w:rsidRPr="00582796">
        <w:rPr>
          <w:rFonts w:ascii="Arial" w:hAnsi="Arial" w:cs="Arial"/>
          <w:b w:val="0"/>
          <w:szCs w:val="24"/>
        </w:rPr>
        <w:t>Town Structure</w:t>
      </w:r>
      <w:r w:rsidR="005B08DE">
        <w:rPr>
          <w:rFonts w:ascii="Arial" w:hAnsi="Arial" w:cs="Arial"/>
          <w:b w:val="0"/>
          <w:szCs w:val="24"/>
        </w:rPr>
        <w:t xml:space="preserve"> </w:t>
      </w:r>
      <w:r w:rsidRPr="00582796">
        <w:rPr>
          <w:rFonts w:ascii="Arial" w:hAnsi="Arial" w:cs="Arial"/>
          <w:b w:val="0"/>
          <w:szCs w:val="24"/>
        </w:rPr>
        <w:t>Plan</w:t>
      </w:r>
      <w:r w:rsidR="00054E0A">
        <w:rPr>
          <w:rFonts w:ascii="Arial" w:hAnsi="Arial" w:cs="Arial"/>
          <w:b w:val="0"/>
          <w:szCs w:val="24"/>
        </w:rPr>
        <w:t xml:space="preserve"> and </w:t>
      </w:r>
      <w:r w:rsidRPr="00582796">
        <w:rPr>
          <w:rFonts w:ascii="Arial" w:hAnsi="Arial" w:cs="Arial"/>
          <w:b w:val="0"/>
          <w:szCs w:val="24"/>
        </w:rPr>
        <w:t>Clause 21.</w:t>
      </w:r>
      <w:r w:rsidR="005B08DE">
        <w:rPr>
          <w:rFonts w:ascii="Arial" w:hAnsi="Arial" w:cs="Arial"/>
          <w:b w:val="0"/>
          <w:szCs w:val="24"/>
        </w:rPr>
        <w:t xml:space="preserve">15 </w:t>
      </w:r>
      <w:r w:rsidR="00054E0A">
        <w:rPr>
          <w:rFonts w:ascii="Arial" w:hAnsi="Arial" w:cs="Arial"/>
          <w:b w:val="0"/>
          <w:szCs w:val="24"/>
        </w:rPr>
        <w:t xml:space="preserve">‘Local Areas’ </w:t>
      </w:r>
      <w:r w:rsidRPr="00582796">
        <w:rPr>
          <w:rFonts w:ascii="Arial" w:hAnsi="Arial" w:cs="Arial"/>
          <w:b w:val="0"/>
          <w:szCs w:val="24"/>
        </w:rPr>
        <w:t xml:space="preserve">of the </w:t>
      </w:r>
      <w:r w:rsidR="005B08DE">
        <w:rPr>
          <w:rFonts w:ascii="Arial" w:hAnsi="Arial" w:cs="Arial"/>
          <w:b w:val="0"/>
          <w:szCs w:val="24"/>
        </w:rPr>
        <w:t xml:space="preserve">South Gippsland </w:t>
      </w:r>
      <w:r w:rsidRPr="00582796">
        <w:rPr>
          <w:rFonts w:ascii="Arial" w:hAnsi="Arial" w:cs="Arial"/>
          <w:b w:val="0"/>
          <w:szCs w:val="24"/>
        </w:rPr>
        <w:t>Planning Scheme.</w:t>
      </w:r>
    </w:p>
    <w:p w:rsidR="00582796" w:rsidRPr="00582796" w:rsidRDefault="005B08DE" w:rsidP="00582796">
      <w:pPr>
        <w:pStyle w:val="Heading3"/>
        <w:numPr>
          <w:ilvl w:val="0"/>
          <w:numId w:val="0"/>
        </w:numPr>
        <w:jc w:val="left"/>
        <w:rPr>
          <w:rFonts w:ascii="Arial" w:hAnsi="Arial" w:cs="Arial"/>
          <w:b w:val="0"/>
          <w:szCs w:val="24"/>
        </w:rPr>
      </w:pPr>
      <w:r>
        <w:rPr>
          <w:rFonts w:ascii="Arial" w:hAnsi="Arial" w:cs="Arial"/>
          <w:b w:val="0"/>
          <w:szCs w:val="24"/>
        </w:rPr>
        <w:t xml:space="preserve">The amendment </w:t>
      </w:r>
      <w:r w:rsidR="00582796" w:rsidRPr="00582796">
        <w:rPr>
          <w:rFonts w:ascii="Arial" w:hAnsi="Arial" w:cs="Arial"/>
          <w:b w:val="0"/>
          <w:szCs w:val="24"/>
        </w:rPr>
        <w:t>provide</w:t>
      </w:r>
      <w:r>
        <w:rPr>
          <w:rFonts w:ascii="Arial" w:hAnsi="Arial" w:cs="Arial"/>
          <w:b w:val="0"/>
          <w:szCs w:val="24"/>
        </w:rPr>
        <w:t>s</w:t>
      </w:r>
      <w:r w:rsidR="00582796" w:rsidRPr="00582796">
        <w:rPr>
          <w:rFonts w:ascii="Arial" w:hAnsi="Arial" w:cs="Arial"/>
          <w:b w:val="0"/>
          <w:szCs w:val="24"/>
        </w:rPr>
        <w:t xml:space="preserve"> for the protection of natural and man-made resources and the maintenance of</w:t>
      </w:r>
      <w:r>
        <w:rPr>
          <w:rFonts w:ascii="Arial" w:hAnsi="Arial" w:cs="Arial"/>
          <w:b w:val="0"/>
          <w:szCs w:val="24"/>
        </w:rPr>
        <w:t xml:space="preserve"> </w:t>
      </w:r>
      <w:r w:rsidR="00582796" w:rsidRPr="00582796">
        <w:rPr>
          <w:rFonts w:ascii="Arial" w:hAnsi="Arial" w:cs="Arial"/>
          <w:b w:val="0"/>
          <w:szCs w:val="24"/>
        </w:rPr>
        <w:t xml:space="preserve">ecological </w:t>
      </w:r>
      <w:r>
        <w:rPr>
          <w:rFonts w:ascii="Arial" w:hAnsi="Arial" w:cs="Arial"/>
          <w:b w:val="0"/>
          <w:szCs w:val="24"/>
        </w:rPr>
        <w:t xml:space="preserve">processes and genetic diversity though applying buffer areas to identified drainage reserves. The buffers protect against the erosive forces of surface water runoff caused by development and protect river systems downstream. </w:t>
      </w:r>
      <w:r w:rsidRPr="00582796">
        <w:rPr>
          <w:rFonts w:ascii="Arial" w:hAnsi="Arial" w:cs="Arial"/>
          <w:b w:val="0"/>
          <w:szCs w:val="24"/>
        </w:rPr>
        <w:t xml:space="preserve">The impacts on flora and fauna resulting from township growth identified in the </w:t>
      </w:r>
      <w:r w:rsidR="00EF3073">
        <w:rPr>
          <w:rFonts w:ascii="Arial" w:hAnsi="Arial" w:cs="Arial"/>
          <w:b w:val="0"/>
          <w:szCs w:val="24"/>
        </w:rPr>
        <w:t xml:space="preserve">Framework </w:t>
      </w:r>
      <w:r w:rsidRPr="00582796">
        <w:rPr>
          <w:rFonts w:ascii="Arial" w:hAnsi="Arial" w:cs="Arial"/>
          <w:b w:val="0"/>
          <w:szCs w:val="24"/>
        </w:rPr>
        <w:t>Plan is expected to be minimal.</w:t>
      </w:r>
    </w:p>
    <w:p w:rsidR="0030757B" w:rsidRPr="00582796" w:rsidRDefault="00582796" w:rsidP="00582796">
      <w:pPr>
        <w:pStyle w:val="Heading3"/>
        <w:numPr>
          <w:ilvl w:val="0"/>
          <w:numId w:val="0"/>
        </w:numPr>
        <w:jc w:val="left"/>
        <w:rPr>
          <w:rFonts w:ascii="Arial" w:hAnsi="Arial" w:cs="Arial"/>
          <w:b w:val="0"/>
          <w:szCs w:val="24"/>
        </w:rPr>
      </w:pPr>
      <w:r w:rsidRPr="00582796">
        <w:rPr>
          <w:rFonts w:ascii="Arial" w:hAnsi="Arial" w:cs="Arial"/>
          <w:b w:val="0"/>
          <w:szCs w:val="24"/>
        </w:rPr>
        <w:t xml:space="preserve">The </w:t>
      </w:r>
      <w:r w:rsidR="005B08DE">
        <w:rPr>
          <w:rFonts w:ascii="Arial" w:hAnsi="Arial" w:cs="Arial"/>
          <w:b w:val="0"/>
          <w:szCs w:val="24"/>
        </w:rPr>
        <w:t>a</w:t>
      </w:r>
      <w:r w:rsidRPr="00582796">
        <w:rPr>
          <w:rFonts w:ascii="Arial" w:hAnsi="Arial" w:cs="Arial"/>
          <w:b w:val="0"/>
          <w:szCs w:val="24"/>
        </w:rPr>
        <w:t xml:space="preserve">mendment will “secure a pleasant, efficient and safe working, living and recreational environment for all Victorians and visitors to Victoria”. </w:t>
      </w:r>
      <w:r w:rsidR="005B08DE">
        <w:rPr>
          <w:rFonts w:ascii="Arial" w:hAnsi="Arial" w:cs="Arial"/>
          <w:b w:val="0"/>
          <w:szCs w:val="24"/>
        </w:rPr>
        <w:t xml:space="preserve">This will be achieved through the </w:t>
      </w:r>
      <w:r w:rsidRPr="00582796">
        <w:rPr>
          <w:rFonts w:ascii="Arial" w:hAnsi="Arial" w:cs="Arial"/>
          <w:b w:val="0"/>
          <w:szCs w:val="24"/>
        </w:rPr>
        <w:t>development of liveable townships with strong pedestrian and cycle connectivity and recreational spaces for community enjoyment. The provisions aim to provide for highly liveable communities in a sustainable manner.</w:t>
      </w:r>
    </w:p>
    <w:p w:rsidR="00A068E6" w:rsidRDefault="00855A78" w:rsidP="008310E5">
      <w:pPr>
        <w:pStyle w:val="Heading3"/>
        <w:numPr>
          <w:ilvl w:val="0"/>
          <w:numId w:val="0"/>
        </w:numPr>
        <w:jc w:val="left"/>
        <w:rPr>
          <w:rFonts w:ascii="Arial" w:hAnsi="Arial" w:cs="Arial"/>
          <w:szCs w:val="24"/>
        </w:rPr>
      </w:pPr>
      <w:r>
        <w:rPr>
          <w:rFonts w:ascii="Arial" w:hAnsi="Arial" w:cs="Arial"/>
          <w:szCs w:val="24"/>
        </w:rPr>
        <w:t>How does the A</w:t>
      </w:r>
      <w:r w:rsidR="00646305" w:rsidRPr="00646305">
        <w:rPr>
          <w:rFonts w:ascii="Arial" w:hAnsi="Arial" w:cs="Arial"/>
          <w:szCs w:val="24"/>
        </w:rPr>
        <w:t>mendment address any environmenta</w:t>
      </w:r>
      <w:r w:rsidR="00EE21EB">
        <w:rPr>
          <w:rFonts w:ascii="Arial" w:hAnsi="Arial" w:cs="Arial"/>
          <w:szCs w:val="24"/>
        </w:rPr>
        <w:t>l, social and economic effects?</w:t>
      </w:r>
    </w:p>
    <w:p w:rsidR="005B08DE" w:rsidRPr="00494740" w:rsidRDefault="005B08DE" w:rsidP="005B08DE">
      <w:pPr>
        <w:pStyle w:val="StrategicAssessmentText"/>
        <w:ind w:left="0"/>
        <w:jc w:val="left"/>
        <w:rPr>
          <w:rFonts w:ascii="Arial" w:hAnsi="Arial" w:cs="Arial"/>
          <w:i/>
          <w:sz w:val="22"/>
          <w:szCs w:val="22"/>
        </w:rPr>
      </w:pPr>
      <w:r w:rsidRPr="00494740">
        <w:rPr>
          <w:rFonts w:ascii="Arial" w:hAnsi="Arial" w:cs="Arial"/>
          <w:i/>
          <w:sz w:val="22"/>
          <w:szCs w:val="22"/>
        </w:rPr>
        <w:t>Environmental Effects</w:t>
      </w:r>
    </w:p>
    <w:p w:rsidR="005B08DE" w:rsidRPr="005B08DE" w:rsidRDefault="005B08DE" w:rsidP="0065532A">
      <w:pPr>
        <w:pStyle w:val="StrategicAssessmentText"/>
        <w:ind w:left="0"/>
        <w:jc w:val="left"/>
        <w:rPr>
          <w:rFonts w:ascii="Arial" w:hAnsi="Arial" w:cs="Arial"/>
          <w:sz w:val="22"/>
          <w:szCs w:val="22"/>
        </w:rPr>
      </w:pPr>
      <w:r w:rsidRPr="005B08DE">
        <w:rPr>
          <w:rFonts w:ascii="Arial" w:hAnsi="Arial" w:cs="Arial"/>
          <w:sz w:val="22"/>
          <w:szCs w:val="22"/>
        </w:rPr>
        <w:t xml:space="preserve">The </w:t>
      </w:r>
      <w:r w:rsidR="005658BB">
        <w:rPr>
          <w:rFonts w:ascii="Arial" w:hAnsi="Arial" w:cs="Arial"/>
          <w:sz w:val="22"/>
          <w:szCs w:val="22"/>
        </w:rPr>
        <w:t>a</w:t>
      </w:r>
      <w:r w:rsidR="00AF45B5">
        <w:rPr>
          <w:rFonts w:ascii="Arial" w:hAnsi="Arial" w:cs="Arial"/>
          <w:sz w:val="22"/>
          <w:szCs w:val="22"/>
        </w:rPr>
        <w:t>mendment</w:t>
      </w:r>
      <w:r w:rsidRPr="005B08DE">
        <w:rPr>
          <w:rFonts w:ascii="Arial" w:hAnsi="Arial" w:cs="Arial"/>
          <w:sz w:val="22"/>
          <w:szCs w:val="22"/>
        </w:rPr>
        <w:t xml:space="preserve"> will not have any adverse environmental effects</w:t>
      </w:r>
      <w:r w:rsidR="0065532A">
        <w:rPr>
          <w:rFonts w:ascii="Arial" w:hAnsi="Arial" w:cs="Arial"/>
          <w:sz w:val="22"/>
          <w:szCs w:val="22"/>
        </w:rPr>
        <w:t xml:space="preserve"> because of </w:t>
      </w:r>
      <w:r w:rsidR="00054E0A">
        <w:rPr>
          <w:rFonts w:ascii="Arial" w:hAnsi="Arial" w:cs="Arial"/>
          <w:sz w:val="22"/>
          <w:szCs w:val="22"/>
        </w:rPr>
        <w:t xml:space="preserve">the required responses of surface water drainage through </w:t>
      </w:r>
      <w:r w:rsidR="0065532A">
        <w:rPr>
          <w:rFonts w:ascii="Arial" w:hAnsi="Arial" w:cs="Arial"/>
          <w:sz w:val="22"/>
          <w:szCs w:val="22"/>
        </w:rPr>
        <w:t xml:space="preserve">a </w:t>
      </w:r>
      <w:r w:rsidR="00054E0A">
        <w:rPr>
          <w:rFonts w:ascii="Arial" w:hAnsi="Arial" w:cs="Arial"/>
          <w:sz w:val="22"/>
          <w:szCs w:val="22"/>
        </w:rPr>
        <w:t xml:space="preserve">development </w:t>
      </w:r>
      <w:r w:rsidR="0065532A">
        <w:rPr>
          <w:rFonts w:ascii="Arial" w:hAnsi="Arial" w:cs="Arial"/>
          <w:sz w:val="22"/>
          <w:szCs w:val="22"/>
        </w:rPr>
        <w:t xml:space="preserve">buffer </w:t>
      </w:r>
      <w:r w:rsidR="00054E0A">
        <w:rPr>
          <w:rFonts w:ascii="Arial" w:hAnsi="Arial" w:cs="Arial"/>
          <w:sz w:val="22"/>
          <w:szCs w:val="22"/>
        </w:rPr>
        <w:t xml:space="preserve">area </w:t>
      </w:r>
      <w:r w:rsidR="0065532A">
        <w:rPr>
          <w:rFonts w:ascii="Arial" w:hAnsi="Arial" w:cs="Arial"/>
          <w:sz w:val="22"/>
          <w:szCs w:val="22"/>
        </w:rPr>
        <w:t>and drainage re</w:t>
      </w:r>
      <w:r w:rsidR="00054E0A">
        <w:rPr>
          <w:rFonts w:ascii="Arial" w:hAnsi="Arial" w:cs="Arial"/>
          <w:sz w:val="22"/>
          <w:szCs w:val="22"/>
        </w:rPr>
        <w:t>serve to protect against erosion</w:t>
      </w:r>
      <w:r w:rsidRPr="005B08DE">
        <w:rPr>
          <w:rFonts w:ascii="Arial" w:hAnsi="Arial" w:cs="Arial"/>
          <w:sz w:val="22"/>
          <w:szCs w:val="22"/>
        </w:rPr>
        <w:t xml:space="preserve">. </w:t>
      </w:r>
    </w:p>
    <w:p w:rsidR="008F4A5F" w:rsidRDefault="00494740" w:rsidP="008F4A5F">
      <w:pPr>
        <w:pStyle w:val="StrategicAssessmentText"/>
        <w:ind w:left="0"/>
        <w:jc w:val="left"/>
        <w:rPr>
          <w:rFonts w:ascii="Arial" w:hAnsi="Arial" w:cs="Arial"/>
          <w:sz w:val="22"/>
          <w:szCs w:val="22"/>
        </w:rPr>
      </w:pPr>
      <w:r>
        <w:rPr>
          <w:rFonts w:ascii="Arial" w:hAnsi="Arial" w:cs="Arial"/>
          <w:sz w:val="22"/>
          <w:szCs w:val="22"/>
        </w:rPr>
        <w:lastRenderedPageBreak/>
        <w:t>D</w:t>
      </w:r>
      <w:r w:rsidRPr="005B08DE">
        <w:rPr>
          <w:rFonts w:ascii="Arial" w:hAnsi="Arial" w:cs="Arial"/>
          <w:sz w:val="22"/>
          <w:szCs w:val="22"/>
        </w:rPr>
        <w:t>evelopment in accordance with the township plans is</w:t>
      </w:r>
      <w:r>
        <w:rPr>
          <w:rFonts w:ascii="Arial" w:hAnsi="Arial" w:cs="Arial"/>
          <w:sz w:val="22"/>
          <w:szCs w:val="22"/>
        </w:rPr>
        <w:t xml:space="preserve"> </w:t>
      </w:r>
      <w:r w:rsidRPr="005B08DE">
        <w:rPr>
          <w:rFonts w:ascii="Arial" w:hAnsi="Arial" w:cs="Arial"/>
          <w:sz w:val="22"/>
          <w:szCs w:val="22"/>
        </w:rPr>
        <w:t>unlikely to have a detrimental impact on the environmental qualities of the subject townships</w:t>
      </w:r>
      <w:r>
        <w:rPr>
          <w:rFonts w:ascii="Arial" w:hAnsi="Arial" w:cs="Arial"/>
          <w:sz w:val="22"/>
          <w:szCs w:val="22"/>
        </w:rPr>
        <w:t xml:space="preserve"> </w:t>
      </w:r>
      <w:r w:rsidRPr="005B08DE">
        <w:rPr>
          <w:rFonts w:ascii="Arial" w:hAnsi="Arial" w:cs="Arial"/>
          <w:sz w:val="22"/>
          <w:szCs w:val="22"/>
        </w:rPr>
        <w:t xml:space="preserve">and their immediate surrounding environments. The specific </w:t>
      </w:r>
      <w:r w:rsidR="005658BB">
        <w:rPr>
          <w:rFonts w:ascii="Arial" w:hAnsi="Arial" w:cs="Arial"/>
          <w:sz w:val="22"/>
          <w:szCs w:val="22"/>
        </w:rPr>
        <w:t>‘</w:t>
      </w:r>
      <w:r w:rsidRPr="005B08DE">
        <w:rPr>
          <w:rFonts w:ascii="Arial" w:hAnsi="Arial" w:cs="Arial"/>
          <w:sz w:val="22"/>
          <w:szCs w:val="22"/>
        </w:rPr>
        <w:t>Objectives and</w:t>
      </w:r>
      <w:r>
        <w:rPr>
          <w:rFonts w:ascii="Arial" w:hAnsi="Arial" w:cs="Arial"/>
          <w:sz w:val="22"/>
          <w:szCs w:val="22"/>
        </w:rPr>
        <w:t xml:space="preserve"> </w:t>
      </w:r>
      <w:r w:rsidRPr="005B08DE">
        <w:rPr>
          <w:rFonts w:ascii="Arial" w:hAnsi="Arial" w:cs="Arial"/>
          <w:sz w:val="22"/>
          <w:szCs w:val="22"/>
        </w:rPr>
        <w:t>Strategies</w:t>
      </w:r>
      <w:r w:rsidR="005658BB">
        <w:rPr>
          <w:rFonts w:ascii="Arial" w:hAnsi="Arial" w:cs="Arial"/>
          <w:sz w:val="22"/>
          <w:szCs w:val="22"/>
        </w:rPr>
        <w:t>’</w:t>
      </w:r>
      <w:r w:rsidRPr="005B08DE">
        <w:rPr>
          <w:rFonts w:ascii="Arial" w:hAnsi="Arial" w:cs="Arial"/>
          <w:sz w:val="22"/>
          <w:szCs w:val="22"/>
        </w:rPr>
        <w:t xml:space="preserve"> of the township provisions encourage development that has close regard to the</w:t>
      </w:r>
      <w:r>
        <w:rPr>
          <w:rFonts w:ascii="Arial" w:hAnsi="Arial" w:cs="Arial"/>
          <w:sz w:val="22"/>
          <w:szCs w:val="22"/>
        </w:rPr>
        <w:t xml:space="preserve"> </w:t>
      </w:r>
      <w:r w:rsidRPr="005B08DE">
        <w:rPr>
          <w:rFonts w:ascii="Arial" w:hAnsi="Arial" w:cs="Arial"/>
          <w:sz w:val="22"/>
          <w:szCs w:val="22"/>
        </w:rPr>
        <w:t>environmental values of th</w:t>
      </w:r>
      <w:r w:rsidR="008F4A5F">
        <w:rPr>
          <w:rFonts w:ascii="Arial" w:hAnsi="Arial" w:cs="Arial"/>
          <w:sz w:val="22"/>
          <w:szCs w:val="22"/>
        </w:rPr>
        <w:t xml:space="preserve">e subject and surrounding lands. </w:t>
      </w:r>
    </w:p>
    <w:p w:rsidR="008F4A5F" w:rsidRPr="005B08DE" w:rsidRDefault="008F4A5F" w:rsidP="008F4A5F">
      <w:pPr>
        <w:pStyle w:val="StrategicAssessmentText"/>
        <w:ind w:left="0"/>
        <w:jc w:val="left"/>
        <w:rPr>
          <w:rFonts w:ascii="Arial" w:hAnsi="Arial" w:cs="Arial"/>
          <w:sz w:val="22"/>
          <w:szCs w:val="22"/>
        </w:rPr>
      </w:pPr>
      <w:r>
        <w:rPr>
          <w:rFonts w:ascii="Arial" w:hAnsi="Arial" w:cs="Arial"/>
          <w:sz w:val="22"/>
          <w:szCs w:val="22"/>
        </w:rPr>
        <w:t xml:space="preserve">The removal of the </w:t>
      </w:r>
      <w:r w:rsidRPr="008F4A5F">
        <w:rPr>
          <w:rFonts w:ascii="Arial" w:hAnsi="Arial" w:cs="Arial"/>
          <w:sz w:val="22"/>
          <w:szCs w:val="22"/>
        </w:rPr>
        <w:t xml:space="preserve">Environmental Significance Overlay 5 (Erosion) </w:t>
      </w:r>
      <w:r>
        <w:rPr>
          <w:rFonts w:ascii="Arial" w:hAnsi="Arial" w:cs="Arial"/>
          <w:sz w:val="22"/>
          <w:szCs w:val="22"/>
        </w:rPr>
        <w:t xml:space="preserve">and </w:t>
      </w:r>
      <w:r w:rsidRPr="008F4A5F">
        <w:rPr>
          <w:rFonts w:ascii="Arial" w:hAnsi="Arial" w:cs="Arial"/>
          <w:sz w:val="22"/>
          <w:szCs w:val="22"/>
        </w:rPr>
        <w:t xml:space="preserve">6 (Flooding) </w:t>
      </w:r>
      <w:r>
        <w:rPr>
          <w:rFonts w:ascii="Arial" w:hAnsi="Arial" w:cs="Arial"/>
          <w:sz w:val="22"/>
          <w:szCs w:val="22"/>
        </w:rPr>
        <w:t xml:space="preserve">will not have an effect as these overlays were applied </w:t>
      </w:r>
      <w:r w:rsidR="00F7675D">
        <w:rPr>
          <w:rFonts w:ascii="Arial" w:hAnsi="Arial" w:cs="Arial"/>
          <w:sz w:val="22"/>
          <w:szCs w:val="22"/>
        </w:rPr>
        <w:t>as a broad approach to protection</w:t>
      </w:r>
      <w:r w:rsidR="005658BB">
        <w:rPr>
          <w:rFonts w:ascii="Arial" w:hAnsi="Arial" w:cs="Arial"/>
          <w:sz w:val="22"/>
          <w:szCs w:val="22"/>
        </w:rPr>
        <w:t xml:space="preserve"> without consideration to specific areas</w:t>
      </w:r>
      <w:r w:rsidR="00F7675D">
        <w:rPr>
          <w:rFonts w:ascii="Arial" w:hAnsi="Arial" w:cs="Arial"/>
          <w:sz w:val="22"/>
          <w:szCs w:val="22"/>
        </w:rPr>
        <w:t xml:space="preserve">. Investigation has shown that removal of these overlays will not have a significant effect on the environmental values of the land. </w:t>
      </w:r>
    </w:p>
    <w:p w:rsidR="005B08DE" w:rsidRPr="00494740" w:rsidRDefault="005B08DE" w:rsidP="005B08DE">
      <w:pPr>
        <w:pStyle w:val="StrategicAssessmentText"/>
        <w:ind w:left="0"/>
        <w:jc w:val="left"/>
        <w:rPr>
          <w:rFonts w:ascii="Arial" w:hAnsi="Arial" w:cs="Arial"/>
          <w:i/>
          <w:sz w:val="22"/>
          <w:szCs w:val="22"/>
        </w:rPr>
      </w:pPr>
      <w:r w:rsidRPr="00494740">
        <w:rPr>
          <w:rFonts w:ascii="Arial" w:hAnsi="Arial" w:cs="Arial"/>
          <w:i/>
          <w:sz w:val="22"/>
          <w:szCs w:val="22"/>
        </w:rPr>
        <w:t>Social and Economic Effects</w:t>
      </w:r>
    </w:p>
    <w:p w:rsidR="005B08DE" w:rsidRDefault="005B08DE" w:rsidP="005B08DE">
      <w:pPr>
        <w:pStyle w:val="StrategicAssessmentText"/>
        <w:ind w:left="0"/>
        <w:jc w:val="left"/>
      </w:pPr>
      <w:r w:rsidRPr="005B08DE">
        <w:rPr>
          <w:rFonts w:ascii="Arial" w:hAnsi="Arial" w:cs="Arial"/>
          <w:sz w:val="22"/>
          <w:szCs w:val="22"/>
        </w:rPr>
        <w:t xml:space="preserve">The </w:t>
      </w:r>
      <w:r w:rsidR="005658BB">
        <w:rPr>
          <w:rFonts w:ascii="Arial" w:hAnsi="Arial" w:cs="Arial"/>
          <w:sz w:val="22"/>
          <w:szCs w:val="22"/>
        </w:rPr>
        <w:t>a</w:t>
      </w:r>
      <w:r w:rsidRPr="005B08DE">
        <w:rPr>
          <w:rFonts w:ascii="Arial" w:hAnsi="Arial" w:cs="Arial"/>
          <w:sz w:val="22"/>
          <w:szCs w:val="22"/>
        </w:rPr>
        <w:t>mendment will not have any adverse social or economic effects. The rezoning will</w:t>
      </w:r>
      <w:r w:rsidR="0065532A">
        <w:rPr>
          <w:rFonts w:ascii="Arial" w:hAnsi="Arial" w:cs="Arial"/>
          <w:sz w:val="22"/>
          <w:szCs w:val="22"/>
        </w:rPr>
        <w:t xml:space="preserve"> </w:t>
      </w:r>
      <w:r w:rsidRPr="005B08DE">
        <w:rPr>
          <w:rFonts w:ascii="Arial" w:hAnsi="Arial" w:cs="Arial"/>
          <w:sz w:val="22"/>
          <w:szCs w:val="22"/>
        </w:rPr>
        <w:t xml:space="preserve">increase the housing choice in </w:t>
      </w:r>
      <w:r w:rsidR="0065532A">
        <w:rPr>
          <w:rFonts w:ascii="Arial" w:hAnsi="Arial" w:cs="Arial"/>
          <w:sz w:val="22"/>
          <w:szCs w:val="22"/>
        </w:rPr>
        <w:t xml:space="preserve">Leongatha </w:t>
      </w:r>
      <w:r w:rsidRPr="005B08DE">
        <w:rPr>
          <w:rFonts w:ascii="Arial" w:hAnsi="Arial" w:cs="Arial"/>
          <w:sz w:val="22"/>
          <w:szCs w:val="22"/>
        </w:rPr>
        <w:t>and provide for residential lots in close</w:t>
      </w:r>
      <w:r w:rsidR="005225B4">
        <w:rPr>
          <w:rFonts w:ascii="Arial" w:hAnsi="Arial" w:cs="Arial"/>
          <w:sz w:val="22"/>
          <w:szCs w:val="22"/>
        </w:rPr>
        <w:t xml:space="preserve"> </w:t>
      </w:r>
      <w:r w:rsidRPr="005B08DE">
        <w:rPr>
          <w:rFonts w:ascii="Arial" w:hAnsi="Arial" w:cs="Arial"/>
          <w:sz w:val="22"/>
          <w:szCs w:val="22"/>
        </w:rPr>
        <w:t xml:space="preserve">proximity to the </w:t>
      </w:r>
      <w:r w:rsidR="005225B4">
        <w:rPr>
          <w:rFonts w:ascii="Arial" w:hAnsi="Arial" w:cs="Arial"/>
          <w:sz w:val="22"/>
          <w:szCs w:val="22"/>
        </w:rPr>
        <w:t>town centre. It will be connected to t</w:t>
      </w:r>
      <w:r w:rsidR="00054E0A">
        <w:rPr>
          <w:rFonts w:ascii="Arial" w:hAnsi="Arial" w:cs="Arial"/>
          <w:sz w:val="22"/>
          <w:szCs w:val="22"/>
        </w:rPr>
        <w:t xml:space="preserve">he existing pedestrian networks. </w:t>
      </w:r>
      <w:r w:rsidR="005225B4">
        <w:rPr>
          <w:rFonts w:ascii="Arial" w:hAnsi="Arial" w:cs="Arial"/>
          <w:sz w:val="22"/>
          <w:szCs w:val="22"/>
        </w:rPr>
        <w:t xml:space="preserve">The proposal represents </w:t>
      </w:r>
      <w:r w:rsidRPr="005B08DE">
        <w:rPr>
          <w:rFonts w:ascii="Arial" w:hAnsi="Arial" w:cs="Arial"/>
          <w:sz w:val="22"/>
          <w:szCs w:val="22"/>
        </w:rPr>
        <w:t>a net benefit for local business and support for local community organisations.</w:t>
      </w:r>
      <w:r w:rsidRPr="005B08DE">
        <w:t xml:space="preserve"> </w:t>
      </w:r>
    </w:p>
    <w:p w:rsidR="00494740" w:rsidRDefault="005B08DE" w:rsidP="005B08DE">
      <w:pPr>
        <w:pStyle w:val="StrategicAssessmentText"/>
        <w:ind w:left="0"/>
        <w:jc w:val="left"/>
        <w:rPr>
          <w:rFonts w:ascii="Arial" w:hAnsi="Arial" w:cs="Arial"/>
          <w:sz w:val="22"/>
          <w:szCs w:val="22"/>
        </w:rPr>
      </w:pPr>
      <w:r w:rsidRPr="005B08DE">
        <w:rPr>
          <w:rFonts w:ascii="Arial" w:hAnsi="Arial" w:cs="Arial"/>
          <w:sz w:val="22"/>
          <w:szCs w:val="22"/>
        </w:rPr>
        <w:t xml:space="preserve">The </w:t>
      </w:r>
      <w:r w:rsidR="00054E0A">
        <w:rPr>
          <w:rFonts w:ascii="Arial" w:hAnsi="Arial" w:cs="Arial"/>
          <w:sz w:val="22"/>
          <w:szCs w:val="22"/>
        </w:rPr>
        <w:t>A</w:t>
      </w:r>
      <w:r w:rsidRPr="005B08DE">
        <w:rPr>
          <w:rFonts w:ascii="Arial" w:hAnsi="Arial" w:cs="Arial"/>
          <w:sz w:val="22"/>
          <w:szCs w:val="22"/>
        </w:rPr>
        <w:t>mendment seeks to</w:t>
      </w:r>
      <w:r w:rsidR="00494740">
        <w:rPr>
          <w:rFonts w:ascii="Arial" w:hAnsi="Arial" w:cs="Arial"/>
          <w:sz w:val="22"/>
          <w:szCs w:val="22"/>
        </w:rPr>
        <w:t xml:space="preserve"> </w:t>
      </w:r>
      <w:r w:rsidRPr="005B08DE">
        <w:rPr>
          <w:rFonts w:ascii="Arial" w:hAnsi="Arial" w:cs="Arial"/>
          <w:sz w:val="22"/>
          <w:szCs w:val="22"/>
        </w:rPr>
        <w:t xml:space="preserve">create liveable townships which promote vibrant, engaged communities. The </w:t>
      </w:r>
      <w:r w:rsidR="00054E0A">
        <w:rPr>
          <w:rFonts w:ascii="Arial" w:hAnsi="Arial" w:cs="Arial"/>
          <w:sz w:val="22"/>
          <w:szCs w:val="22"/>
        </w:rPr>
        <w:t>A</w:t>
      </w:r>
      <w:r w:rsidRPr="005B08DE">
        <w:rPr>
          <w:rFonts w:ascii="Arial" w:hAnsi="Arial" w:cs="Arial"/>
          <w:sz w:val="22"/>
          <w:szCs w:val="22"/>
        </w:rPr>
        <w:t xml:space="preserve">mendment identifies </w:t>
      </w:r>
      <w:r w:rsidR="00494740">
        <w:rPr>
          <w:rFonts w:ascii="Arial" w:hAnsi="Arial" w:cs="Arial"/>
          <w:sz w:val="22"/>
          <w:szCs w:val="22"/>
        </w:rPr>
        <w:t xml:space="preserve">land with significant </w:t>
      </w:r>
      <w:r w:rsidRPr="005B08DE">
        <w:rPr>
          <w:rFonts w:ascii="Arial" w:hAnsi="Arial" w:cs="Arial"/>
          <w:sz w:val="22"/>
          <w:szCs w:val="22"/>
        </w:rPr>
        <w:t xml:space="preserve">potential </w:t>
      </w:r>
      <w:r w:rsidR="00494740">
        <w:rPr>
          <w:rFonts w:ascii="Arial" w:hAnsi="Arial" w:cs="Arial"/>
          <w:sz w:val="22"/>
          <w:szCs w:val="22"/>
        </w:rPr>
        <w:t xml:space="preserve">for </w:t>
      </w:r>
      <w:r w:rsidRPr="005B08DE">
        <w:rPr>
          <w:rFonts w:ascii="Arial" w:hAnsi="Arial" w:cs="Arial"/>
          <w:sz w:val="22"/>
          <w:szCs w:val="22"/>
        </w:rPr>
        <w:t>residential use</w:t>
      </w:r>
      <w:r w:rsidR="00494740">
        <w:rPr>
          <w:rFonts w:ascii="Arial" w:hAnsi="Arial" w:cs="Arial"/>
          <w:sz w:val="22"/>
          <w:szCs w:val="22"/>
        </w:rPr>
        <w:t xml:space="preserve"> that will have a use value greater than it</w:t>
      </w:r>
      <w:r w:rsidRPr="005B08DE">
        <w:rPr>
          <w:rFonts w:ascii="Arial" w:hAnsi="Arial" w:cs="Arial"/>
          <w:sz w:val="22"/>
          <w:szCs w:val="22"/>
        </w:rPr>
        <w:t>s</w:t>
      </w:r>
      <w:r w:rsidR="00494740">
        <w:rPr>
          <w:rFonts w:ascii="Arial" w:hAnsi="Arial" w:cs="Arial"/>
          <w:sz w:val="22"/>
          <w:szCs w:val="22"/>
        </w:rPr>
        <w:t xml:space="preserve"> current</w:t>
      </w:r>
      <w:r w:rsidRPr="005B08DE">
        <w:rPr>
          <w:rFonts w:ascii="Arial" w:hAnsi="Arial" w:cs="Arial"/>
          <w:sz w:val="22"/>
          <w:szCs w:val="22"/>
        </w:rPr>
        <w:t xml:space="preserve"> Farming Zone </w:t>
      </w:r>
      <w:r w:rsidR="00494740">
        <w:rPr>
          <w:rFonts w:ascii="Arial" w:hAnsi="Arial" w:cs="Arial"/>
          <w:sz w:val="22"/>
          <w:szCs w:val="22"/>
        </w:rPr>
        <w:t>classification</w:t>
      </w:r>
      <w:r w:rsidRPr="005B08DE">
        <w:rPr>
          <w:rFonts w:ascii="Arial" w:hAnsi="Arial" w:cs="Arial"/>
          <w:sz w:val="22"/>
          <w:szCs w:val="22"/>
        </w:rPr>
        <w:t xml:space="preserve">. </w:t>
      </w:r>
    </w:p>
    <w:p w:rsidR="00646305" w:rsidRDefault="005B08DE" w:rsidP="005B08DE">
      <w:pPr>
        <w:pStyle w:val="StrategicAssessmentText"/>
        <w:ind w:left="0"/>
        <w:jc w:val="left"/>
        <w:rPr>
          <w:rFonts w:ascii="Arial" w:hAnsi="Arial" w:cs="Arial"/>
          <w:sz w:val="22"/>
          <w:szCs w:val="22"/>
        </w:rPr>
      </w:pPr>
      <w:r w:rsidRPr="005B08DE">
        <w:rPr>
          <w:rFonts w:ascii="Arial" w:hAnsi="Arial" w:cs="Arial"/>
          <w:sz w:val="22"/>
          <w:szCs w:val="22"/>
        </w:rPr>
        <w:t>While the planning scheme</w:t>
      </w:r>
      <w:r w:rsidR="00494740">
        <w:rPr>
          <w:rFonts w:ascii="Arial" w:hAnsi="Arial" w:cs="Arial"/>
          <w:sz w:val="22"/>
          <w:szCs w:val="22"/>
        </w:rPr>
        <w:t xml:space="preserve"> </w:t>
      </w:r>
      <w:r w:rsidRPr="005B08DE">
        <w:rPr>
          <w:rFonts w:ascii="Arial" w:hAnsi="Arial" w:cs="Arial"/>
          <w:sz w:val="22"/>
          <w:szCs w:val="22"/>
        </w:rPr>
        <w:t>encourages the retention of rural land for productive agriculture, the consolidation of</w:t>
      </w:r>
      <w:r w:rsidR="00494740">
        <w:rPr>
          <w:rFonts w:ascii="Arial" w:hAnsi="Arial" w:cs="Arial"/>
          <w:sz w:val="22"/>
          <w:szCs w:val="22"/>
        </w:rPr>
        <w:t xml:space="preserve"> </w:t>
      </w:r>
      <w:r w:rsidRPr="005B08DE">
        <w:rPr>
          <w:rFonts w:ascii="Arial" w:hAnsi="Arial" w:cs="Arial"/>
          <w:sz w:val="22"/>
          <w:szCs w:val="22"/>
        </w:rPr>
        <w:t>residential development at a range of densities, around existing townships is an appropriate</w:t>
      </w:r>
      <w:r w:rsidR="00494740">
        <w:rPr>
          <w:rFonts w:ascii="Arial" w:hAnsi="Arial" w:cs="Arial"/>
          <w:sz w:val="22"/>
          <w:szCs w:val="22"/>
        </w:rPr>
        <w:t xml:space="preserve"> </w:t>
      </w:r>
      <w:r w:rsidRPr="005B08DE">
        <w:rPr>
          <w:rFonts w:ascii="Arial" w:hAnsi="Arial" w:cs="Arial"/>
          <w:sz w:val="22"/>
          <w:szCs w:val="22"/>
        </w:rPr>
        <w:t>means by which to reduce the pressure for ad hoc low density and rural residential</w:t>
      </w:r>
      <w:r w:rsidR="00494740">
        <w:rPr>
          <w:rFonts w:ascii="Arial" w:hAnsi="Arial" w:cs="Arial"/>
          <w:sz w:val="22"/>
          <w:szCs w:val="22"/>
        </w:rPr>
        <w:t xml:space="preserve"> </w:t>
      </w:r>
      <w:r w:rsidRPr="005B08DE">
        <w:rPr>
          <w:rFonts w:ascii="Arial" w:hAnsi="Arial" w:cs="Arial"/>
          <w:sz w:val="22"/>
          <w:szCs w:val="22"/>
        </w:rPr>
        <w:t xml:space="preserve">development across the Shire’s State significant agricultural areas. </w:t>
      </w:r>
      <w:r w:rsidR="00054E0A">
        <w:rPr>
          <w:rFonts w:ascii="Arial" w:hAnsi="Arial" w:cs="Arial"/>
          <w:sz w:val="22"/>
          <w:szCs w:val="22"/>
        </w:rPr>
        <w:t>T</w:t>
      </w:r>
      <w:r w:rsidRPr="005B08DE">
        <w:rPr>
          <w:rFonts w:ascii="Arial" w:hAnsi="Arial" w:cs="Arial"/>
          <w:sz w:val="22"/>
          <w:szCs w:val="22"/>
        </w:rPr>
        <w:t>he</w:t>
      </w:r>
      <w:r w:rsidR="00494740">
        <w:rPr>
          <w:rFonts w:ascii="Arial" w:hAnsi="Arial" w:cs="Arial"/>
          <w:sz w:val="22"/>
          <w:szCs w:val="22"/>
        </w:rPr>
        <w:t xml:space="preserve"> </w:t>
      </w:r>
      <w:r w:rsidRPr="005B08DE">
        <w:rPr>
          <w:rFonts w:ascii="Arial" w:hAnsi="Arial" w:cs="Arial"/>
          <w:sz w:val="22"/>
          <w:szCs w:val="22"/>
        </w:rPr>
        <w:t>potential loss of agricultural land to residential development must be balanced against the</w:t>
      </w:r>
      <w:r w:rsidR="00494740">
        <w:rPr>
          <w:rFonts w:ascii="Arial" w:hAnsi="Arial" w:cs="Arial"/>
          <w:sz w:val="22"/>
          <w:szCs w:val="22"/>
        </w:rPr>
        <w:t xml:space="preserve"> </w:t>
      </w:r>
      <w:r w:rsidRPr="005B08DE">
        <w:rPr>
          <w:rFonts w:ascii="Arial" w:hAnsi="Arial" w:cs="Arial"/>
          <w:sz w:val="22"/>
          <w:szCs w:val="22"/>
        </w:rPr>
        <w:t>economic gains to the region that will result from encouraging population growth in a</w:t>
      </w:r>
      <w:r w:rsidR="00494740">
        <w:rPr>
          <w:rFonts w:ascii="Arial" w:hAnsi="Arial" w:cs="Arial"/>
          <w:sz w:val="22"/>
          <w:szCs w:val="22"/>
        </w:rPr>
        <w:t xml:space="preserve"> </w:t>
      </w:r>
      <w:r w:rsidRPr="005B08DE">
        <w:rPr>
          <w:rFonts w:ascii="Arial" w:hAnsi="Arial" w:cs="Arial"/>
          <w:sz w:val="22"/>
          <w:szCs w:val="22"/>
        </w:rPr>
        <w:t>planned manner, in the townships. By carefully planning the release of</w:t>
      </w:r>
      <w:r w:rsidR="00494740">
        <w:rPr>
          <w:rFonts w:ascii="Arial" w:hAnsi="Arial" w:cs="Arial"/>
          <w:sz w:val="22"/>
          <w:szCs w:val="22"/>
        </w:rPr>
        <w:t xml:space="preserve"> </w:t>
      </w:r>
      <w:r w:rsidRPr="005B08DE">
        <w:rPr>
          <w:rFonts w:ascii="Arial" w:hAnsi="Arial" w:cs="Arial"/>
          <w:sz w:val="22"/>
          <w:szCs w:val="22"/>
        </w:rPr>
        <w:t>greenfield agricultural land for residential development, the detrimental impacts resulting</w:t>
      </w:r>
      <w:r w:rsidR="00494740">
        <w:rPr>
          <w:rFonts w:ascii="Arial" w:hAnsi="Arial" w:cs="Arial"/>
          <w:sz w:val="22"/>
          <w:szCs w:val="22"/>
        </w:rPr>
        <w:t xml:space="preserve"> </w:t>
      </w:r>
      <w:r w:rsidRPr="005B08DE">
        <w:rPr>
          <w:rFonts w:ascii="Arial" w:hAnsi="Arial" w:cs="Arial"/>
          <w:sz w:val="22"/>
          <w:szCs w:val="22"/>
        </w:rPr>
        <w:t>from the loss of agricultural land can be managed and balanced against the benefits of</w:t>
      </w:r>
      <w:r w:rsidR="00494740">
        <w:rPr>
          <w:rFonts w:ascii="Arial" w:hAnsi="Arial" w:cs="Arial"/>
          <w:sz w:val="22"/>
          <w:szCs w:val="22"/>
        </w:rPr>
        <w:t xml:space="preserve"> </w:t>
      </w:r>
      <w:r w:rsidRPr="005B08DE">
        <w:rPr>
          <w:rFonts w:ascii="Arial" w:hAnsi="Arial" w:cs="Arial"/>
          <w:sz w:val="22"/>
          <w:szCs w:val="22"/>
        </w:rPr>
        <w:t>providing additional residential development opportunities.</w:t>
      </w:r>
    </w:p>
    <w:p w:rsidR="0047628B" w:rsidRPr="0047628B" w:rsidRDefault="00855A78" w:rsidP="008310E5">
      <w:pPr>
        <w:pStyle w:val="Heading3"/>
        <w:numPr>
          <w:ilvl w:val="0"/>
          <w:numId w:val="0"/>
        </w:numPr>
        <w:jc w:val="left"/>
        <w:rPr>
          <w:rFonts w:ascii="Arial" w:hAnsi="Arial" w:cs="Arial"/>
          <w:szCs w:val="24"/>
        </w:rPr>
      </w:pPr>
      <w:r>
        <w:rPr>
          <w:rFonts w:ascii="Arial" w:hAnsi="Arial" w:cs="Arial"/>
          <w:szCs w:val="24"/>
        </w:rPr>
        <w:t>Does the A</w:t>
      </w:r>
      <w:r w:rsidR="0047628B" w:rsidRPr="0047628B">
        <w:rPr>
          <w:rFonts w:ascii="Arial" w:hAnsi="Arial" w:cs="Arial"/>
          <w:szCs w:val="24"/>
        </w:rPr>
        <w:t>mendment address relevant bushfire risk?</w:t>
      </w:r>
    </w:p>
    <w:p w:rsidR="0047628B" w:rsidRPr="00F27102" w:rsidRDefault="00DE6878" w:rsidP="00BF51BC">
      <w:pPr>
        <w:pStyle w:val="StrategicAssessmentText"/>
        <w:ind w:left="0"/>
        <w:jc w:val="left"/>
        <w:rPr>
          <w:rFonts w:ascii="Arial" w:hAnsi="Arial" w:cs="Arial"/>
          <w:snapToGrid w:val="0"/>
          <w:sz w:val="22"/>
          <w:szCs w:val="22"/>
          <w:lang w:eastAsia="en-US"/>
        </w:rPr>
      </w:pPr>
      <w:r w:rsidRPr="00DE6878">
        <w:rPr>
          <w:rFonts w:ascii="Arial" w:hAnsi="Arial" w:cs="Arial"/>
          <w:snapToGrid w:val="0"/>
          <w:sz w:val="22"/>
          <w:szCs w:val="22"/>
          <w:lang w:eastAsia="en-US"/>
        </w:rPr>
        <w:t>The townships and their immediate surrounds are unaffected by the Bushfire Management</w:t>
      </w:r>
      <w:r w:rsidR="00BF51BC">
        <w:rPr>
          <w:rFonts w:ascii="Arial" w:hAnsi="Arial" w:cs="Arial"/>
          <w:snapToGrid w:val="0"/>
          <w:sz w:val="22"/>
          <w:szCs w:val="22"/>
          <w:lang w:eastAsia="en-US"/>
        </w:rPr>
        <w:t xml:space="preserve"> </w:t>
      </w:r>
      <w:r w:rsidRPr="00DE6878">
        <w:rPr>
          <w:rFonts w:ascii="Arial" w:hAnsi="Arial" w:cs="Arial"/>
          <w:snapToGrid w:val="0"/>
          <w:sz w:val="22"/>
          <w:szCs w:val="22"/>
          <w:lang w:eastAsia="en-US"/>
        </w:rPr>
        <w:t xml:space="preserve">Overlay. </w:t>
      </w:r>
      <w:r w:rsidR="00BF51BC">
        <w:rPr>
          <w:rFonts w:ascii="Arial" w:hAnsi="Arial" w:cs="Arial"/>
          <w:snapToGrid w:val="0"/>
          <w:sz w:val="22"/>
          <w:szCs w:val="22"/>
          <w:lang w:eastAsia="en-US"/>
        </w:rPr>
        <w:t xml:space="preserve">The site </w:t>
      </w:r>
      <w:r w:rsidR="00C50339">
        <w:rPr>
          <w:rFonts w:ascii="Arial" w:hAnsi="Arial" w:cs="Arial"/>
          <w:snapToGrid w:val="0"/>
          <w:sz w:val="22"/>
          <w:szCs w:val="22"/>
          <w:lang w:eastAsia="en-US"/>
        </w:rPr>
        <w:t xml:space="preserve">is largely altered pasture land and </w:t>
      </w:r>
      <w:r w:rsidR="00BF51BC" w:rsidRPr="00BF51BC">
        <w:rPr>
          <w:rFonts w:ascii="Arial" w:hAnsi="Arial" w:cs="Arial"/>
          <w:snapToGrid w:val="0"/>
          <w:sz w:val="22"/>
          <w:szCs w:val="22"/>
          <w:lang w:eastAsia="en-US"/>
        </w:rPr>
        <w:t xml:space="preserve">not considered a high fire risk. The </w:t>
      </w:r>
      <w:r w:rsidR="00C50339">
        <w:rPr>
          <w:rFonts w:ascii="Arial" w:hAnsi="Arial" w:cs="Arial"/>
          <w:snapToGrid w:val="0"/>
          <w:sz w:val="22"/>
          <w:szCs w:val="22"/>
          <w:lang w:eastAsia="en-US"/>
        </w:rPr>
        <w:t xml:space="preserve">proposed use of the land for high density residential purposes </w:t>
      </w:r>
      <w:r w:rsidR="00BF51BC" w:rsidRPr="00BF51BC">
        <w:rPr>
          <w:rFonts w:ascii="Arial" w:hAnsi="Arial" w:cs="Arial"/>
          <w:snapToGrid w:val="0"/>
          <w:sz w:val="22"/>
          <w:szCs w:val="22"/>
          <w:lang w:eastAsia="en-US"/>
        </w:rPr>
        <w:t xml:space="preserve">provides the opportunity for bushfire risk to be considered in detail at </w:t>
      </w:r>
      <w:r w:rsidR="00C50339">
        <w:rPr>
          <w:rFonts w:ascii="Arial" w:hAnsi="Arial" w:cs="Arial"/>
          <w:snapToGrid w:val="0"/>
          <w:sz w:val="22"/>
          <w:szCs w:val="22"/>
          <w:lang w:eastAsia="en-US"/>
        </w:rPr>
        <w:t>subdivision</w:t>
      </w:r>
      <w:r w:rsidR="00BF51BC" w:rsidRPr="00BF51BC">
        <w:rPr>
          <w:rFonts w:ascii="Arial" w:hAnsi="Arial" w:cs="Arial"/>
          <w:snapToGrid w:val="0"/>
          <w:sz w:val="22"/>
          <w:szCs w:val="22"/>
          <w:lang w:eastAsia="en-US"/>
        </w:rPr>
        <w:t>.</w:t>
      </w:r>
    </w:p>
    <w:p w:rsidR="00A068E6" w:rsidRPr="0075100B" w:rsidRDefault="00855A78" w:rsidP="008310E5">
      <w:pPr>
        <w:pStyle w:val="Heading3"/>
        <w:numPr>
          <w:ilvl w:val="0"/>
          <w:numId w:val="0"/>
        </w:numPr>
        <w:jc w:val="left"/>
        <w:rPr>
          <w:rFonts w:ascii="Arial" w:hAnsi="Arial" w:cs="Arial"/>
          <w:szCs w:val="24"/>
        </w:rPr>
      </w:pPr>
      <w:r>
        <w:rPr>
          <w:rFonts w:ascii="Arial" w:hAnsi="Arial" w:cs="Arial"/>
          <w:szCs w:val="24"/>
        </w:rPr>
        <w:t xml:space="preserve">Does the </w:t>
      </w:r>
      <w:r w:rsidRPr="0075100B">
        <w:rPr>
          <w:rFonts w:ascii="Arial" w:hAnsi="Arial" w:cs="Arial"/>
          <w:szCs w:val="24"/>
        </w:rPr>
        <w:t>A</w:t>
      </w:r>
      <w:r w:rsidR="00A068E6" w:rsidRPr="0075100B">
        <w:rPr>
          <w:rFonts w:ascii="Arial" w:hAnsi="Arial" w:cs="Arial"/>
          <w:szCs w:val="24"/>
        </w:rPr>
        <w:t xml:space="preserve">mendment comply with the requirements of any Minister’s Direction applicable to the </w:t>
      </w:r>
      <w:r w:rsidR="00AF45B5">
        <w:rPr>
          <w:rFonts w:ascii="Arial" w:hAnsi="Arial" w:cs="Arial"/>
          <w:szCs w:val="24"/>
        </w:rPr>
        <w:t>Amendment</w:t>
      </w:r>
      <w:r w:rsidR="00A068E6" w:rsidRPr="0075100B">
        <w:rPr>
          <w:rFonts w:ascii="Arial" w:hAnsi="Arial" w:cs="Arial"/>
          <w:szCs w:val="24"/>
        </w:rPr>
        <w:t>?</w:t>
      </w:r>
    </w:p>
    <w:p w:rsidR="00EE13CE" w:rsidRPr="0075100B" w:rsidRDefault="00C50339" w:rsidP="00EE13CE">
      <w:pPr>
        <w:pStyle w:val="StrategicAssessmentText"/>
        <w:ind w:left="0"/>
        <w:jc w:val="left"/>
        <w:rPr>
          <w:rFonts w:ascii="Arial" w:hAnsi="Arial" w:cs="Arial"/>
          <w:sz w:val="22"/>
          <w:szCs w:val="22"/>
        </w:rPr>
      </w:pPr>
      <w:r w:rsidRPr="0075100B">
        <w:rPr>
          <w:rFonts w:ascii="Arial" w:hAnsi="Arial" w:cs="Arial"/>
          <w:sz w:val="22"/>
          <w:szCs w:val="22"/>
        </w:rPr>
        <w:t xml:space="preserve">The </w:t>
      </w:r>
      <w:r w:rsidR="00054E0A">
        <w:rPr>
          <w:rFonts w:ascii="Arial" w:hAnsi="Arial" w:cs="Arial"/>
          <w:sz w:val="22"/>
          <w:szCs w:val="22"/>
        </w:rPr>
        <w:t>A</w:t>
      </w:r>
      <w:r w:rsidRPr="0075100B">
        <w:rPr>
          <w:rFonts w:ascii="Arial" w:hAnsi="Arial" w:cs="Arial"/>
          <w:sz w:val="22"/>
          <w:szCs w:val="22"/>
        </w:rPr>
        <w:t>mendment is consistent with the Ministerial Direction on the Form and Content of Planning Schemes under section 7(5) of the Act</w:t>
      </w:r>
      <w:r w:rsidR="00EE13CE" w:rsidRPr="0075100B">
        <w:rPr>
          <w:rFonts w:ascii="Arial" w:hAnsi="Arial" w:cs="Arial"/>
          <w:sz w:val="22"/>
          <w:szCs w:val="22"/>
        </w:rPr>
        <w:t xml:space="preserve"> and Ministerial Direction No. 11 Strategic Assessment Guidelines. Directions regarding amendments to planning schemes have been considered in this Explanatory Report. </w:t>
      </w:r>
    </w:p>
    <w:p w:rsidR="00A068E6" w:rsidRPr="0075100B" w:rsidRDefault="00855A78" w:rsidP="00EE13CE">
      <w:pPr>
        <w:pStyle w:val="Heading3"/>
        <w:numPr>
          <w:ilvl w:val="0"/>
          <w:numId w:val="0"/>
        </w:numPr>
        <w:jc w:val="left"/>
        <w:rPr>
          <w:rFonts w:ascii="Arial" w:hAnsi="Arial" w:cs="Arial"/>
          <w:szCs w:val="24"/>
        </w:rPr>
      </w:pPr>
      <w:r w:rsidRPr="0075100B">
        <w:rPr>
          <w:rFonts w:ascii="Arial" w:hAnsi="Arial" w:cs="Arial"/>
          <w:szCs w:val="24"/>
        </w:rPr>
        <w:t>How does the A</w:t>
      </w:r>
      <w:r w:rsidR="00A068E6" w:rsidRPr="0075100B">
        <w:rPr>
          <w:rFonts w:ascii="Arial" w:hAnsi="Arial" w:cs="Arial"/>
          <w:szCs w:val="24"/>
        </w:rPr>
        <w:t xml:space="preserve">mendment support or implement the </w:t>
      </w:r>
      <w:r w:rsidR="007A4DF1" w:rsidRPr="0075100B">
        <w:rPr>
          <w:rFonts w:ascii="Arial" w:hAnsi="Arial" w:cs="Arial"/>
          <w:szCs w:val="24"/>
        </w:rPr>
        <w:t>State Planning Policy Framework and any adopted State policy?</w:t>
      </w:r>
    </w:p>
    <w:p w:rsidR="007E43B6" w:rsidRPr="0075100B" w:rsidRDefault="007E43B6" w:rsidP="00EE13CE">
      <w:pPr>
        <w:pStyle w:val="StrategicAssessmentText"/>
        <w:ind w:left="0"/>
        <w:jc w:val="left"/>
        <w:rPr>
          <w:rFonts w:ascii="Arial" w:hAnsi="Arial" w:cs="Arial"/>
          <w:snapToGrid w:val="0"/>
          <w:sz w:val="22"/>
          <w:szCs w:val="22"/>
          <w:lang w:eastAsia="en-US"/>
        </w:rPr>
      </w:pPr>
      <w:r w:rsidRPr="0075100B">
        <w:rPr>
          <w:rFonts w:ascii="Arial" w:hAnsi="Arial" w:cs="Arial"/>
          <w:snapToGrid w:val="0"/>
          <w:sz w:val="22"/>
          <w:szCs w:val="22"/>
          <w:lang w:eastAsia="en-US"/>
        </w:rPr>
        <w:t>Proposed amendments directly support an implementation of the State Planning Policy</w:t>
      </w:r>
      <w:r w:rsidR="00EE13CE" w:rsidRPr="0075100B">
        <w:rPr>
          <w:rFonts w:ascii="Arial" w:hAnsi="Arial" w:cs="Arial"/>
          <w:snapToGrid w:val="0"/>
          <w:sz w:val="22"/>
          <w:szCs w:val="22"/>
          <w:lang w:eastAsia="en-US"/>
        </w:rPr>
        <w:t xml:space="preserve"> </w:t>
      </w:r>
      <w:r w:rsidRPr="0075100B">
        <w:rPr>
          <w:rFonts w:ascii="Arial" w:hAnsi="Arial" w:cs="Arial"/>
          <w:snapToGrid w:val="0"/>
          <w:sz w:val="22"/>
          <w:szCs w:val="22"/>
          <w:lang w:eastAsia="en-US"/>
        </w:rPr>
        <w:t>Framework (SPPF) through the following:</w:t>
      </w:r>
    </w:p>
    <w:p w:rsidR="007E43B6" w:rsidRPr="0075100B" w:rsidRDefault="007E43B6" w:rsidP="00EE13CE">
      <w:pPr>
        <w:pStyle w:val="StrategicAssessmentText"/>
        <w:ind w:left="0"/>
        <w:jc w:val="left"/>
        <w:rPr>
          <w:rFonts w:ascii="Arial" w:hAnsi="Arial" w:cs="Arial"/>
          <w:snapToGrid w:val="0"/>
          <w:sz w:val="22"/>
          <w:szCs w:val="22"/>
          <w:u w:val="single"/>
          <w:lang w:eastAsia="en-US"/>
        </w:rPr>
      </w:pPr>
      <w:r w:rsidRPr="0075100B">
        <w:rPr>
          <w:rFonts w:ascii="Arial" w:hAnsi="Arial" w:cs="Arial"/>
          <w:snapToGrid w:val="0"/>
          <w:sz w:val="22"/>
          <w:szCs w:val="22"/>
          <w:u w:val="single"/>
          <w:lang w:eastAsia="en-US"/>
        </w:rPr>
        <w:t xml:space="preserve">Clause 11 Settlement </w:t>
      </w:r>
    </w:p>
    <w:p w:rsidR="005D5D08" w:rsidRDefault="00EE13CE" w:rsidP="00EE13CE">
      <w:pPr>
        <w:pStyle w:val="StrategicAssessmentText"/>
        <w:ind w:left="0"/>
        <w:jc w:val="left"/>
        <w:rPr>
          <w:rFonts w:ascii="Arial" w:hAnsi="Arial" w:cs="Arial"/>
          <w:snapToGrid w:val="0"/>
          <w:sz w:val="22"/>
          <w:szCs w:val="22"/>
          <w:lang w:eastAsia="en-US"/>
        </w:rPr>
      </w:pPr>
      <w:r>
        <w:rPr>
          <w:rFonts w:ascii="Arial" w:hAnsi="Arial" w:cs="Arial"/>
          <w:snapToGrid w:val="0"/>
          <w:sz w:val="22"/>
          <w:szCs w:val="22"/>
          <w:lang w:eastAsia="en-US"/>
        </w:rPr>
        <w:t>The proposed r</w:t>
      </w:r>
      <w:r w:rsidR="007E43B6" w:rsidRPr="007E43B6">
        <w:rPr>
          <w:rFonts w:ascii="Arial" w:hAnsi="Arial" w:cs="Arial"/>
          <w:snapToGrid w:val="0"/>
          <w:sz w:val="22"/>
          <w:szCs w:val="22"/>
          <w:lang w:eastAsia="en-US"/>
        </w:rPr>
        <w:t>ezoning is a response by</w:t>
      </w:r>
      <w:r>
        <w:rPr>
          <w:rFonts w:ascii="Arial" w:hAnsi="Arial" w:cs="Arial"/>
          <w:snapToGrid w:val="0"/>
          <w:sz w:val="22"/>
          <w:szCs w:val="22"/>
          <w:lang w:eastAsia="en-US"/>
        </w:rPr>
        <w:t xml:space="preserve"> </w:t>
      </w:r>
      <w:r w:rsidR="007E43B6" w:rsidRPr="007E43B6">
        <w:rPr>
          <w:rFonts w:ascii="Arial" w:hAnsi="Arial" w:cs="Arial"/>
          <w:snapToGrid w:val="0"/>
          <w:sz w:val="22"/>
          <w:szCs w:val="22"/>
          <w:lang w:eastAsia="en-US"/>
        </w:rPr>
        <w:t>Council to the needs of existing and future communities. The proposed rezoning provides</w:t>
      </w:r>
      <w:r>
        <w:rPr>
          <w:rFonts w:ascii="Arial" w:hAnsi="Arial" w:cs="Arial"/>
          <w:snapToGrid w:val="0"/>
          <w:sz w:val="22"/>
          <w:szCs w:val="22"/>
          <w:lang w:eastAsia="en-US"/>
        </w:rPr>
        <w:t xml:space="preserve"> </w:t>
      </w:r>
      <w:r w:rsidR="007E43B6" w:rsidRPr="007E43B6">
        <w:rPr>
          <w:rFonts w:ascii="Arial" w:hAnsi="Arial" w:cs="Arial"/>
          <w:snapToGrid w:val="0"/>
          <w:sz w:val="22"/>
          <w:szCs w:val="22"/>
          <w:lang w:eastAsia="en-US"/>
        </w:rPr>
        <w:t>appropriately zoned and serviced land for housing. It will also generate direct and indirect</w:t>
      </w:r>
      <w:r>
        <w:rPr>
          <w:rFonts w:ascii="Arial" w:hAnsi="Arial" w:cs="Arial"/>
          <w:snapToGrid w:val="0"/>
          <w:sz w:val="22"/>
          <w:szCs w:val="22"/>
          <w:lang w:eastAsia="en-US"/>
        </w:rPr>
        <w:t xml:space="preserve"> </w:t>
      </w:r>
      <w:r w:rsidR="007E43B6" w:rsidRPr="007E43B6">
        <w:rPr>
          <w:rFonts w:ascii="Arial" w:hAnsi="Arial" w:cs="Arial"/>
          <w:snapToGrid w:val="0"/>
          <w:sz w:val="22"/>
          <w:szCs w:val="22"/>
          <w:lang w:eastAsia="en-US"/>
        </w:rPr>
        <w:t>employment opportunities during development, and will enhance the recreation and open</w:t>
      </w:r>
      <w:r>
        <w:rPr>
          <w:rFonts w:ascii="Arial" w:hAnsi="Arial" w:cs="Arial"/>
          <w:snapToGrid w:val="0"/>
          <w:sz w:val="22"/>
          <w:szCs w:val="22"/>
          <w:lang w:eastAsia="en-US"/>
        </w:rPr>
        <w:t xml:space="preserve"> </w:t>
      </w:r>
      <w:r w:rsidR="007E43B6" w:rsidRPr="007E43B6">
        <w:rPr>
          <w:rFonts w:ascii="Arial" w:hAnsi="Arial" w:cs="Arial"/>
          <w:snapToGrid w:val="0"/>
          <w:sz w:val="22"/>
          <w:szCs w:val="22"/>
          <w:lang w:eastAsia="en-US"/>
        </w:rPr>
        <w:t>space facilities, facilitate the provision of commercial and community facilities and</w:t>
      </w:r>
      <w:r>
        <w:rPr>
          <w:rFonts w:ascii="Arial" w:hAnsi="Arial" w:cs="Arial"/>
          <w:snapToGrid w:val="0"/>
          <w:sz w:val="22"/>
          <w:szCs w:val="22"/>
          <w:lang w:eastAsia="en-US"/>
        </w:rPr>
        <w:t xml:space="preserve"> </w:t>
      </w:r>
      <w:r w:rsidR="007E43B6" w:rsidRPr="007E43B6">
        <w:rPr>
          <w:rFonts w:ascii="Arial" w:hAnsi="Arial" w:cs="Arial"/>
          <w:snapToGrid w:val="0"/>
          <w:sz w:val="22"/>
          <w:szCs w:val="22"/>
          <w:lang w:eastAsia="en-US"/>
        </w:rPr>
        <w:t>necessary infrastructure for future communities.</w:t>
      </w:r>
    </w:p>
    <w:p w:rsidR="00EE13CE" w:rsidRPr="00EE13CE" w:rsidRDefault="00EE13CE" w:rsidP="00EE13CE">
      <w:pPr>
        <w:pStyle w:val="StrategicAssessmentText"/>
        <w:ind w:left="0"/>
        <w:jc w:val="left"/>
        <w:rPr>
          <w:rFonts w:ascii="Arial" w:hAnsi="Arial" w:cs="Arial"/>
          <w:snapToGrid w:val="0"/>
          <w:sz w:val="22"/>
          <w:szCs w:val="22"/>
          <w:u w:val="single"/>
          <w:lang w:eastAsia="en-US"/>
        </w:rPr>
      </w:pPr>
      <w:r w:rsidRPr="00EE13CE">
        <w:rPr>
          <w:rFonts w:ascii="Arial" w:hAnsi="Arial" w:cs="Arial"/>
          <w:snapToGrid w:val="0"/>
          <w:sz w:val="22"/>
          <w:szCs w:val="22"/>
          <w:u w:val="single"/>
          <w:lang w:eastAsia="en-US"/>
        </w:rPr>
        <w:t xml:space="preserve">Clause 15 Built Environment </w:t>
      </w:r>
      <w:r>
        <w:rPr>
          <w:rFonts w:ascii="Arial" w:hAnsi="Arial" w:cs="Arial"/>
          <w:snapToGrid w:val="0"/>
          <w:sz w:val="22"/>
          <w:szCs w:val="22"/>
          <w:u w:val="single"/>
          <w:lang w:eastAsia="en-US"/>
        </w:rPr>
        <w:t>a</w:t>
      </w:r>
      <w:r w:rsidRPr="00EE13CE">
        <w:rPr>
          <w:rFonts w:ascii="Arial" w:hAnsi="Arial" w:cs="Arial"/>
          <w:snapToGrid w:val="0"/>
          <w:sz w:val="22"/>
          <w:szCs w:val="22"/>
          <w:u w:val="single"/>
          <w:lang w:eastAsia="en-US"/>
        </w:rPr>
        <w:t>nd Heritage</w:t>
      </w:r>
    </w:p>
    <w:p w:rsidR="00EE13CE" w:rsidRDefault="00EE13CE" w:rsidP="00342C6B">
      <w:pPr>
        <w:pStyle w:val="StrategicAssessmentText"/>
        <w:ind w:left="0"/>
        <w:jc w:val="left"/>
        <w:rPr>
          <w:rFonts w:ascii="Arial" w:hAnsi="Arial" w:cs="Arial"/>
          <w:snapToGrid w:val="0"/>
          <w:sz w:val="22"/>
          <w:szCs w:val="22"/>
          <w:lang w:eastAsia="en-US"/>
        </w:rPr>
      </w:pPr>
      <w:r>
        <w:rPr>
          <w:rFonts w:ascii="Arial" w:hAnsi="Arial" w:cs="Arial"/>
          <w:snapToGrid w:val="0"/>
          <w:sz w:val="22"/>
          <w:szCs w:val="22"/>
          <w:lang w:eastAsia="en-US"/>
        </w:rPr>
        <w:t xml:space="preserve">The proposed rezoning and the provisions of the DPO respond to the need for appropriate building and design during urban expansion. The construction guidance provided by the DPO </w:t>
      </w:r>
      <w:r w:rsidR="00342C6B">
        <w:rPr>
          <w:rFonts w:ascii="Arial" w:hAnsi="Arial" w:cs="Arial"/>
          <w:snapToGrid w:val="0"/>
          <w:sz w:val="22"/>
          <w:szCs w:val="22"/>
          <w:lang w:eastAsia="en-US"/>
        </w:rPr>
        <w:t>supplies and maintains</w:t>
      </w:r>
      <w:r w:rsidRPr="00EE13CE">
        <w:rPr>
          <w:rFonts w:ascii="Arial" w:hAnsi="Arial" w:cs="Arial"/>
          <w:snapToGrid w:val="0"/>
          <w:sz w:val="22"/>
          <w:szCs w:val="22"/>
          <w:lang w:eastAsia="en-US"/>
        </w:rPr>
        <w:t xml:space="preserve"> adequate and safe physical and social environments for residents</w:t>
      </w:r>
      <w:r w:rsidR="00342C6B">
        <w:rPr>
          <w:rFonts w:ascii="Arial" w:hAnsi="Arial" w:cs="Arial"/>
          <w:snapToGrid w:val="0"/>
          <w:sz w:val="22"/>
          <w:szCs w:val="22"/>
          <w:lang w:eastAsia="en-US"/>
        </w:rPr>
        <w:t xml:space="preserve">. This is an appropriate location for the proposed </w:t>
      </w:r>
      <w:r w:rsidRPr="00EE13CE">
        <w:rPr>
          <w:rFonts w:ascii="Arial" w:hAnsi="Arial" w:cs="Arial"/>
          <w:snapToGrid w:val="0"/>
          <w:sz w:val="22"/>
          <w:szCs w:val="22"/>
          <w:lang w:eastAsia="en-US"/>
        </w:rPr>
        <w:t>uses and development.</w:t>
      </w:r>
    </w:p>
    <w:p w:rsidR="00342C6B" w:rsidRPr="00342C6B" w:rsidRDefault="00342C6B" w:rsidP="00342C6B">
      <w:pPr>
        <w:pStyle w:val="StrategicAssessmentText"/>
        <w:ind w:left="0"/>
        <w:jc w:val="left"/>
        <w:rPr>
          <w:rFonts w:ascii="Arial" w:hAnsi="Arial" w:cs="Arial"/>
          <w:snapToGrid w:val="0"/>
          <w:sz w:val="22"/>
          <w:szCs w:val="22"/>
          <w:u w:val="single"/>
          <w:lang w:eastAsia="en-US"/>
        </w:rPr>
      </w:pPr>
      <w:r>
        <w:rPr>
          <w:rFonts w:ascii="Arial" w:hAnsi="Arial" w:cs="Arial"/>
          <w:snapToGrid w:val="0"/>
          <w:sz w:val="22"/>
          <w:szCs w:val="22"/>
          <w:u w:val="single"/>
          <w:lang w:eastAsia="en-US"/>
        </w:rPr>
        <w:t xml:space="preserve">Clause 16 Housing : Subclause 16.1 Residential Development </w:t>
      </w:r>
    </w:p>
    <w:p w:rsidR="00342C6B" w:rsidRDefault="00342C6B" w:rsidP="00334ED0">
      <w:pPr>
        <w:pStyle w:val="StrategicAssessmentText"/>
        <w:spacing w:before="0"/>
        <w:ind w:left="0"/>
        <w:jc w:val="left"/>
        <w:rPr>
          <w:rFonts w:ascii="Arial" w:hAnsi="Arial" w:cs="Arial"/>
          <w:snapToGrid w:val="0"/>
          <w:sz w:val="22"/>
          <w:szCs w:val="22"/>
          <w:lang w:eastAsia="en-US"/>
        </w:rPr>
      </w:pPr>
      <w:r>
        <w:rPr>
          <w:rFonts w:ascii="Arial" w:hAnsi="Arial" w:cs="Arial"/>
          <w:snapToGrid w:val="0"/>
          <w:sz w:val="22"/>
          <w:szCs w:val="22"/>
          <w:lang w:eastAsia="en-US"/>
        </w:rPr>
        <w:t>The siting, design guidelines and local policy control addresses the provisions of this clause and responds suitably to the requirements for;</w:t>
      </w:r>
    </w:p>
    <w:p w:rsidR="00342C6B" w:rsidRDefault="00342C6B" w:rsidP="00334ED0">
      <w:pPr>
        <w:pStyle w:val="StrategicAssessmentText"/>
        <w:numPr>
          <w:ilvl w:val="0"/>
          <w:numId w:val="50"/>
        </w:numPr>
        <w:spacing w:before="0"/>
        <w:jc w:val="left"/>
        <w:rPr>
          <w:rFonts w:ascii="Arial" w:hAnsi="Arial" w:cs="Arial"/>
          <w:snapToGrid w:val="0"/>
          <w:sz w:val="22"/>
          <w:szCs w:val="22"/>
          <w:lang w:eastAsia="en-US"/>
        </w:rPr>
      </w:pPr>
      <w:r>
        <w:rPr>
          <w:rFonts w:ascii="Arial" w:hAnsi="Arial" w:cs="Arial"/>
          <w:snapToGrid w:val="0"/>
          <w:sz w:val="22"/>
          <w:szCs w:val="22"/>
          <w:lang w:eastAsia="en-US"/>
        </w:rPr>
        <w:t>Integrated Housing,</w:t>
      </w:r>
    </w:p>
    <w:p w:rsidR="00342C6B" w:rsidRDefault="00342C6B" w:rsidP="00334ED0">
      <w:pPr>
        <w:pStyle w:val="StrategicAssessmentText"/>
        <w:numPr>
          <w:ilvl w:val="0"/>
          <w:numId w:val="50"/>
        </w:numPr>
        <w:spacing w:before="0"/>
        <w:jc w:val="left"/>
        <w:rPr>
          <w:rFonts w:ascii="Arial" w:hAnsi="Arial" w:cs="Arial"/>
          <w:snapToGrid w:val="0"/>
          <w:sz w:val="22"/>
          <w:szCs w:val="22"/>
          <w:lang w:eastAsia="en-US"/>
        </w:rPr>
      </w:pPr>
      <w:r>
        <w:rPr>
          <w:rFonts w:ascii="Arial" w:hAnsi="Arial" w:cs="Arial"/>
          <w:snapToGrid w:val="0"/>
          <w:sz w:val="22"/>
          <w:szCs w:val="22"/>
          <w:lang w:eastAsia="en-US"/>
        </w:rPr>
        <w:t>Location of residential development,</w:t>
      </w:r>
    </w:p>
    <w:p w:rsidR="00342C6B" w:rsidRDefault="00342C6B" w:rsidP="00334ED0">
      <w:pPr>
        <w:pStyle w:val="StrategicAssessmentText"/>
        <w:numPr>
          <w:ilvl w:val="0"/>
          <w:numId w:val="50"/>
        </w:numPr>
        <w:spacing w:before="0"/>
        <w:jc w:val="left"/>
        <w:rPr>
          <w:rFonts w:ascii="Arial" w:hAnsi="Arial" w:cs="Arial"/>
          <w:snapToGrid w:val="0"/>
          <w:sz w:val="22"/>
          <w:szCs w:val="22"/>
          <w:lang w:eastAsia="en-US"/>
        </w:rPr>
      </w:pPr>
      <w:r>
        <w:rPr>
          <w:rFonts w:ascii="Arial" w:hAnsi="Arial" w:cs="Arial"/>
          <w:snapToGrid w:val="0"/>
          <w:sz w:val="22"/>
          <w:szCs w:val="22"/>
          <w:lang w:eastAsia="en-US"/>
        </w:rPr>
        <w:t xml:space="preserve">Strategic development sites, </w:t>
      </w:r>
    </w:p>
    <w:p w:rsidR="00342C6B" w:rsidRDefault="00342C6B" w:rsidP="00334ED0">
      <w:pPr>
        <w:pStyle w:val="StrategicAssessmentText"/>
        <w:numPr>
          <w:ilvl w:val="0"/>
          <w:numId w:val="50"/>
        </w:numPr>
        <w:spacing w:before="0"/>
        <w:jc w:val="left"/>
        <w:rPr>
          <w:rFonts w:ascii="Arial" w:hAnsi="Arial" w:cs="Arial"/>
          <w:snapToGrid w:val="0"/>
          <w:sz w:val="22"/>
          <w:szCs w:val="22"/>
          <w:lang w:eastAsia="en-US"/>
        </w:rPr>
      </w:pPr>
      <w:r>
        <w:rPr>
          <w:rFonts w:ascii="Arial" w:hAnsi="Arial" w:cs="Arial"/>
          <w:snapToGrid w:val="0"/>
          <w:sz w:val="22"/>
          <w:szCs w:val="22"/>
          <w:lang w:eastAsia="en-US"/>
        </w:rPr>
        <w:t>Housing diversity, and;</w:t>
      </w:r>
    </w:p>
    <w:p w:rsidR="00334ED0" w:rsidRPr="00334ED0" w:rsidRDefault="00342C6B" w:rsidP="00334ED0">
      <w:pPr>
        <w:pStyle w:val="StrategicAssessmentText"/>
        <w:numPr>
          <w:ilvl w:val="0"/>
          <w:numId w:val="50"/>
        </w:numPr>
        <w:spacing w:before="0" w:after="120"/>
        <w:ind w:left="714" w:hanging="357"/>
        <w:jc w:val="left"/>
        <w:rPr>
          <w:rFonts w:ascii="Arial" w:hAnsi="Arial" w:cs="Arial"/>
          <w:snapToGrid w:val="0"/>
          <w:sz w:val="22"/>
          <w:szCs w:val="22"/>
          <w:lang w:eastAsia="en-US"/>
        </w:rPr>
      </w:pPr>
      <w:r>
        <w:rPr>
          <w:rFonts w:ascii="Arial" w:hAnsi="Arial" w:cs="Arial"/>
          <w:snapToGrid w:val="0"/>
          <w:sz w:val="22"/>
          <w:szCs w:val="22"/>
          <w:lang w:eastAsia="en-US"/>
        </w:rPr>
        <w:t>Housing affordability</w:t>
      </w:r>
    </w:p>
    <w:p w:rsidR="00342C6B" w:rsidRPr="00342C6B" w:rsidRDefault="00342C6B" w:rsidP="00342C6B">
      <w:pPr>
        <w:pStyle w:val="StrategicAssessmentText"/>
        <w:ind w:left="0"/>
        <w:jc w:val="left"/>
        <w:rPr>
          <w:rFonts w:ascii="Arial" w:hAnsi="Arial" w:cs="Arial"/>
          <w:snapToGrid w:val="0"/>
          <w:sz w:val="22"/>
          <w:szCs w:val="22"/>
          <w:u w:val="single"/>
          <w:lang w:eastAsia="en-US"/>
        </w:rPr>
      </w:pPr>
      <w:r w:rsidRPr="00342C6B">
        <w:rPr>
          <w:rFonts w:ascii="Arial" w:hAnsi="Arial" w:cs="Arial"/>
          <w:snapToGrid w:val="0"/>
          <w:sz w:val="22"/>
          <w:szCs w:val="22"/>
          <w:u w:val="single"/>
          <w:lang w:eastAsia="en-US"/>
        </w:rPr>
        <w:t xml:space="preserve">Clause 18 Transport </w:t>
      </w:r>
      <w:r>
        <w:rPr>
          <w:rFonts w:ascii="Arial" w:hAnsi="Arial" w:cs="Arial"/>
          <w:snapToGrid w:val="0"/>
          <w:sz w:val="22"/>
          <w:szCs w:val="22"/>
          <w:u w:val="single"/>
          <w:lang w:eastAsia="en-US"/>
        </w:rPr>
        <w:t>: Subclause 18.02 Movement Networks</w:t>
      </w:r>
    </w:p>
    <w:p w:rsidR="00342C6B" w:rsidRDefault="00342C6B" w:rsidP="00342C6B">
      <w:pPr>
        <w:pStyle w:val="StrategicAssessmentText"/>
        <w:ind w:left="0"/>
        <w:jc w:val="left"/>
        <w:rPr>
          <w:rFonts w:ascii="Arial" w:hAnsi="Arial" w:cs="Arial"/>
          <w:snapToGrid w:val="0"/>
          <w:sz w:val="22"/>
          <w:szCs w:val="22"/>
          <w:lang w:eastAsia="en-US"/>
        </w:rPr>
      </w:pPr>
      <w:r>
        <w:rPr>
          <w:rFonts w:ascii="Arial" w:hAnsi="Arial" w:cs="Arial"/>
          <w:snapToGrid w:val="0"/>
          <w:sz w:val="22"/>
          <w:szCs w:val="22"/>
          <w:lang w:eastAsia="en-US"/>
        </w:rPr>
        <w:t xml:space="preserve">The DPO ensures that the connectivity to activity centres is provided for new residents. New paths connect to the town activity areas by </w:t>
      </w:r>
      <w:r w:rsidR="00334ED0">
        <w:rPr>
          <w:rFonts w:ascii="Arial" w:hAnsi="Arial" w:cs="Arial"/>
          <w:snapToGrid w:val="0"/>
          <w:sz w:val="22"/>
          <w:szCs w:val="22"/>
          <w:lang w:eastAsia="en-US"/>
        </w:rPr>
        <w:t>the shortest route</w:t>
      </w:r>
      <w:r>
        <w:rPr>
          <w:rFonts w:ascii="Arial" w:hAnsi="Arial" w:cs="Arial"/>
          <w:snapToGrid w:val="0"/>
          <w:sz w:val="22"/>
          <w:szCs w:val="22"/>
          <w:lang w:eastAsia="en-US"/>
        </w:rPr>
        <w:t xml:space="preserve"> practicable. </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t>How does the A</w:t>
      </w:r>
      <w:r w:rsidR="00A068E6" w:rsidRPr="00420A5B">
        <w:rPr>
          <w:rFonts w:ascii="Arial" w:hAnsi="Arial" w:cs="Arial"/>
          <w:szCs w:val="24"/>
        </w:rPr>
        <w:t>mendment support or implement the Local Planning Policy Framework</w:t>
      </w:r>
      <w:r w:rsidR="007A4DF1">
        <w:rPr>
          <w:rFonts w:ascii="Arial" w:hAnsi="Arial" w:cs="Arial"/>
          <w:szCs w:val="24"/>
        </w:rPr>
        <w:t>, and specifically the Municipal Strategic Statement?</w:t>
      </w:r>
    </w:p>
    <w:p w:rsidR="007B4012" w:rsidRPr="007B4012" w:rsidRDefault="009711F8" w:rsidP="007B4012">
      <w:pPr>
        <w:pStyle w:val="StrategicAssessmentText"/>
        <w:ind w:left="0"/>
        <w:jc w:val="left"/>
        <w:rPr>
          <w:rFonts w:ascii="Arial" w:hAnsi="Arial" w:cs="Arial"/>
          <w:sz w:val="22"/>
          <w:szCs w:val="22"/>
          <w:u w:val="single"/>
        </w:rPr>
      </w:pPr>
      <w:r w:rsidRPr="007B4012">
        <w:rPr>
          <w:rFonts w:ascii="Arial" w:hAnsi="Arial" w:cs="Arial"/>
          <w:sz w:val="22"/>
          <w:szCs w:val="22"/>
          <w:u w:val="single"/>
        </w:rPr>
        <w:t>Clause 21.05 Settlement</w:t>
      </w:r>
      <w:r w:rsidR="007B4012" w:rsidRPr="007B4012">
        <w:rPr>
          <w:rFonts w:ascii="Arial" w:hAnsi="Arial" w:cs="Arial"/>
          <w:sz w:val="22"/>
          <w:szCs w:val="22"/>
          <w:u w:val="single"/>
        </w:rPr>
        <w:t xml:space="preserve"> </w:t>
      </w:r>
    </w:p>
    <w:p w:rsidR="009711F8" w:rsidRDefault="009711F8" w:rsidP="007B4012">
      <w:pPr>
        <w:pStyle w:val="StrategicAssessmentText"/>
        <w:ind w:left="0"/>
        <w:jc w:val="left"/>
        <w:rPr>
          <w:rFonts w:ascii="Arial" w:hAnsi="Arial" w:cs="Arial"/>
          <w:sz w:val="22"/>
          <w:szCs w:val="22"/>
        </w:rPr>
      </w:pPr>
      <w:r>
        <w:rPr>
          <w:rFonts w:ascii="Arial" w:hAnsi="Arial" w:cs="Arial"/>
          <w:sz w:val="22"/>
          <w:szCs w:val="22"/>
        </w:rPr>
        <w:t xml:space="preserve">The proposal </w:t>
      </w:r>
      <w:r w:rsidR="007B4012">
        <w:rPr>
          <w:rFonts w:ascii="Arial" w:hAnsi="Arial" w:cs="Arial"/>
          <w:sz w:val="22"/>
          <w:szCs w:val="22"/>
        </w:rPr>
        <w:t xml:space="preserve">is consistent with the identified growth role for Leongatha as the principal township in the shire. </w:t>
      </w:r>
    </w:p>
    <w:p w:rsidR="007B4012" w:rsidRPr="007B4012" w:rsidRDefault="007B4012" w:rsidP="007B4012">
      <w:pPr>
        <w:pStyle w:val="StrategicAssessmentText"/>
        <w:ind w:left="0"/>
        <w:jc w:val="left"/>
        <w:rPr>
          <w:rFonts w:ascii="Arial" w:hAnsi="Arial" w:cs="Arial"/>
          <w:sz w:val="22"/>
          <w:szCs w:val="22"/>
          <w:u w:val="single"/>
        </w:rPr>
      </w:pPr>
      <w:r w:rsidRPr="007B4012">
        <w:rPr>
          <w:rFonts w:ascii="Arial" w:hAnsi="Arial" w:cs="Arial"/>
          <w:sz w:val="22"/>
          <w:szCs w:val="22"/>
          <w:u w:val="single"/>
        </w:rPr>
        <w:t>21.09 Built Environment and Heritage:  Subclause 21.09-2 Urban environment</w:t>
      </w:r>
    </w:p>
    <w:p w:rsidR="007B4012" w:rsidRDefault="007B4012" w:rsidP="007B4012">
      <w:pPr>
        <w:pStyle w:val="StrategicAssessmentText"/>
        <w:ind w:left="0"/>
        <w:jc w:val="left"/>
        <w:rPr>
          <w:rFonts w:ascii="Arial" w:hAnsi="Arial" w:cs="Arial"/>
          <w:sz w:val="22"/>
          <w:szCs w:val="22"/>
        </w:rPr>
      </w:pPr>
      <w:r>
        <w:rPr>
          <w:rFonts w:ascii="Arial" w:hAnsi="Arial" w:cs="Arial"/>
          <w:sz w:val="22"/>
          <w:szCs w:val="22"/>
        </w:rPr>
        <w:t xml:space="preserve">The proposed development </w:t>
      </w:r>
      <w:r w:rsidR="00334ED0">
        <w:rPr>
          <w:rFonts w:ascii="Arial" w:hAnsi="Arial" w:cs="Arial"/>
          <w:sz w:val="22"/>
          <w:szCs w:val="22"/>
        </w:rPr>
        <w:t xml:space="preserve">recognises </w:t>
      </w:r>
      <w:r>
        <w:rPr>
          <w:rFonts w:ascii="Arial" w:hAnsi="Arial" w:cs="Arial"/>
          <w:sz w:val="22"/>
          <w:szCs w:val="22"/>
        </w:rPr>
        <w:t xml:space="preserve">its location context </w:t>
      </w:r>
      <w:r w:rsidR="00334ED0">
        <w:rPr>
          <w:rFonts w:ascii="Arial" w:hAnsi="Arial" w:cs="Arial"/>
          <w:sz w:val="22"/>
          <w:szCs w:val="22"/>
        </w:rPr>
        <w:t xml:space="preserve">through the </w:t>
      </w:r>
      <w:r>
        <w:rPr>
          <w:rFonts w:ascii="Arial" w:hAnsi="Arial" w:cs="Arial"/>
          <w:sz w:val="22"/>
          <w:szCs w:val="22"/>
        </w:rPr>
        <w:t>DPO</w:t>
      </w:r>
      <w:r w:rsidR="00334ED0">
        <w:rPr>
          <w:rFonts w:ascii="Arial" w:hAnsi="Arial" w:cs="Arial"/>
          <w:sz w:val="22"/>
          <w:szCs w:val="22"/>
        </w:rPr>
        <w:t xml:space="preserve">, improving </w:t>
      </w:r>
      <w:r>
        <w:rPr>
          <w:rFonts w:ascii="Arial" w:hAnsi="Arial" w:cs="Arial"/>
          <w:sz w:val="22"/>
          <w:szCs w:val="22"/>
        </w:rPr>
        <w:t xml:space="preserve">the urban environment by balancing </w:t>
      </w:r>
      <w:r w:rsidR="00334ED0">
        <w:rPr>
          <w:rFonts w:ascii="Arial" w:hAnsi="Arial" w:cs="Arial"/>
          <w:sz w:val="22"/>
          <w:szCs w:val="22"/>
        </w:rPr>
        <w:t>t</w:t>
      </w:r>
      <w:r>
        <w:rPr>
          <w:rFonts w:ascii="Arial" w:hAnsi="Arial" w:cs="Arial"/>
          <w:sz w:val="22"/>
          <w:szCs w:val="22"/>
        </w:rPr>
        <w:t>he needs of urban growth and the rural sense of place.</w:t>
      </w:r>
    </w:p>
    <w:p w:rsidR="007B4012" w:rsidRPr="00963270" w:rsidRDefault="007B4012" w:rsidP="007B4012">
      <w:pPr>
        <w:pStyle w:val="StrategicAssessmentText"/>
        <w:ind w:left="0"/>
        <w:jc w:val="left"/>
        <w:rPr>
          <w:rFonts w:ascii="Arial" w:hAnsi="Arial" w:cs="Arial"/>
          <w:sz w:val="22"/>
          <w:szCs w:val="22"/>
          <w:u w:val="single"/>
        </w:rPr>
      </w:pPr>
      <w:r w:rsidRPr="00963270">
        <w:rPr>
          <w:rFonts w:ascii="Arial" w:hAnsi="Arial" w:cs="Arial"/>
          <w:sz w:val="22"/>
          <w:szCs w:val="22"/>
          <w:u w:val="single"/>
        </w:rPr>
        <w:t>21.10 Housing</w:t>
      </w:r>
    </w:p>
    <w:p w:rsidR="007B4012" w:rsidRPr="00963270" w:rsidRDefault="00783EF3" w:rsidP="007B4012">
      <w:pPr>
        <w:pStyle w:val="StrategicAssessmentText"/>
        <w:ind w:left="0"/>
        <w:jc w:val="left"/>
        <w:rPr>
          <w:rFonts w:ascii="Arial" w:hAnsi="Arial" w:cs="Arial"/>
          <w:sz w:val="22"/>
          <w:szCs w:val="22"/>
        </w:rPr>
      </w:pPr>
      <w:r w:rsidRPr="00963270">
        <w:rPr>
          <w:rFonts w:ascii="Arial" w:hAnsi="Arial" w:cs="Arial"/>
          <w:sz w:val="22"/>
          <w:szCs w:val="22"/>
        </w:rPr>
        <w:t>The provision of more land for residential development increase</w:t>
      </w:r>
      <w:r w:rsidR="00334ED0">
        <w:rPr>
          <w:rFonts w:ascii="Arial" w:hAnsi="Arial" w:cs="Arial"/>
          <w:sz w:val="22"/>
          <w:szCs w:val="22"/>
        </w:rPr>
        <w:t>s</w:t>
      </w:r>
      <w:r w:rsidRPr="00963270">
        <w:rPr>
          <w:rFonts w:ascii="Arial" w:hAnsi="Arial" w:cs="Arial"/>
          <w:sz w:val="22"/>
          <w:szCs w:val="22"/>
        </w:rPr>
        <w:t xml:space="preserve"> the </w:t>
      </w:r>
      <w:r w:rsidR="00334ED0" w:rsidRPr="00963270">
        <w:rPr>
          <w:rFonts w:ascii="Arial" w:hAnsi="Arial" w:cs="Arial"/>
          <w:sz w:val="22"/>
          <w:szCs w:val="22"/>
        </w:rPr>
        <w:t xml:space="preserve">housing stock </w:t>
      </w:r>
      <w:r w:rsidRPr="00963270">
        <w:rPr>
          <w:rFonts w:ascii="Arial" w:hAnsi="Arial" w:cs="Arial"/>
          <w:sz w:val="22"/>
          <w:szCs w:val="22"/>
        </w:rPr>
        <w:t xml:space="preserve">diversity within the town. It ensures that development </w:t>
      </w:r>
      <w:r w:rsidR="00334ED0">
        <w:rPr>
          <w:rFonts w:ascii="Arial" w:hAnsi="Arial" w:cs="Arial"/>
          <w:sz w:val="22"/>
          <w:szCs w:val="22"/>
        </w:rPr>
        <w:t>is planned and avoids eroding</w:t>
      </w:r>
      <w:r w:rsidRPr="00963270">
        <w:rPr>
          <w:rFonts w:ascii="Arial" w:hAnsi="Arial" w:cs="Arial"/>
          <w:sz w:val="22"/>
          <w:szCs w:val="22"/>
        </w:rPr>
        <w:t xml:space="preserve"> the </w:t>
      </w:r>
      <w:r w:rsidR="00334ED0">
        <w:rPr>
          <w:rFonts w:ascii="Arial" w:hAnsi="Arial" w:cs="Arial"/>
          <w:sz w:val="22"/>
          <w:szCs w:val="22"/>
        </w:rPr>
        <w:t>remaining</w:t>
      </w:r>
      <w:r w:rsidRPr="00963270">
        <w:rPr>
          <w:rFonts w:ascii="Arial" w:hAnsi="Arial" w:cs="Arial"/>
          <w:sz w:val="22"/>
          <w:szCs w:val="22"/>
        </w:rPr>
        <w:t xml:space="preserve"> productive agricultural land. </w:t>
      </w:r>
    </w:p>
    <w:p w:rsidR="007B4012" w:rsidRPr="00963270" w:rsidRDefault="00783EF3" w:rsidP="007B4012">
      <w:pPr>
        <w:pStyle w:val="StrategicAssessmentText"/>
        <w:ind w:left="0"/>
        <w:jc w:val="left"/>
        <w:rPr>
          <w:rFonts w:ascii="Arial" w:hAnsi="Arial" w:cs="Arial"/>
          <w:sz w:val="22"/>
          <w:szCs w:val="22"/>
          <w:u w:val="single"/>
        </w:rPr>
      </w:pPr>
      <w:r w:rsidRPr="00963270">
        <w:rPr>
          <w:rFonts w:ascii="Arial" w:hAnsi="Arial" w:cs="Arial"/>
          <w:sz w:val="22"/>
          <w:szCs w:val="22"/>
          <w:u w:val="single"/>
        </w:rPr>
        <w:t>21.15 Local Areas: Subclause 21.15-1 Leongatha</w:t>
      </w:r>
    </w:p>
    <w:p w:rsidR="00783EF3" w:rsidRPr="00963270" w:rsidRDefault="00783EF3" w:rsidP="00783EF3">
      <w:pPr>
        <w:pStyle w:val="StrategicAssessmentText"/>
        <w:ind w:left="0"/>
        <w:jc w:val="left"/>
        <w:rPr>
          <w:rFonts w:ascii="Arial" w:hAnsi="Arial" w:cs="Arial"/>
          <w:sz w:val="22"/>
          <w:szCs w:val="22"/>
        </w:rPr>
      </w:pPr>
      <w:r w:rsidRPr="00963270">
        <w:rPr>
          <w:rFonts w:ascii="Arial" w:hAnsi="Arial" w:cs="Arial"/>
          <w:sz w:val="22"/>
          <w:szCs w:val="22"/>
        </w:rPr>
        <w:t xml:space="preserve">The rezoning and extent of the DPO applies to land identified for urban expansion in the Leongatha Framework Plan. </w:t>
      </w:r>
      <w:r w:rsidR="00334ED0">
        <w:rPr>
          <w:rFonts w:ascii="Arial" w:hAnsi="Arial" w:cs="Arial"/>
          <w:sz w:val="22"/>
          <w:szCs w:val="22"/>
        </w:rPr>
        <w:t xml:space="preserve">This identifies the potential for future </w:t>
      </w:r>
      <w:r w:rsidRPr="00963270">
        <w:rPr>
          <w:rFonts w:ascii="Arial" w:hAnsi="Arial" w:cs="Arial"/>
          <w:sz w:val="22"/>
          <w:szCs w:val="22"/>
        </w:rPr>
        <w:t xml:space="preserve">growth </w:t>
      </w:r>
      <w:r w:rsidR="00334ED0">
        <w:rPr>
          <w:rFonts w:ascii="Arial" w:hAnsi="Arial" w:cs="Arial"/>
          <w:sz w:val="22"/>
          <w:szCs w:val="22"/>
        </w:rPr>
        <w:t xml:space="preserve">and </w:t>
      </w:r>
      <w:r w:rsidRPr="00963270">
        <w:rPr>
          <w:rFonts w:ascii="Arial" w:hAnsi="Arial" w:cs="Arial"/>
          <w:sz w:val="22"/>
          <w:szCs w:val="22"/>
        </w:rPr>
        <w:t xml:space="preserve">ensures a sequential development pattern </w:t>
      </w:r>
      <w:r w:rsidR="00334ED0">
        <w:rPr>
          <w:rFonts w:ascii="Arial" w:hAnsi="Arial" w:cs="Arial"/>
          <w:sz w:val="22"/>
          <w:szCs w:val="22"/>
        </w:rPr>
        <w:t>which integrates</w:t>
      </w:r>
      <w:r w:rsidRPr="00963270">
        <w:rPr>
          <w:rFonts w:ascii="Arial" w:hAnsi="Arial" w:cs="Arial"/>
          <w:sz w:val="22"/>
          <w:szCs w:val="22"/>
        </w:rPr>
        <w:t xml:space="preserve"> with existing residential ar</w:t>
      </w:r>
      <w:r w:rsidR="00963270" w:rsidRPr="00963270">
        <w:rPr>
          <w:rFonts w:ascii="Arial" w:hAnsi="Arial" w:cs="Arial"/>
          <w:sz w:val="22"/>
          <w:szCs w:val="22"/>
        </w:rPr>
        <w:t xml:space="preserve">eas. </w:t>
      </w:r>
      <w:r w:rsidR="00334ED0">
        <w:rPr>
          <w:rFonts w:ascii="Arial" w:hAnsi="Arial" w:cs="Arial"/>
          <w:sz w:val="22"/>
          <w:szCs w:val="22"/>
        </w:rPr>
        <w:t>A</w:t>
      </w:r>
      <w:r w:rsidR="00963270" w:rsidRPr="00963270">
        <w:rPr>
          <w:rFonts w:ascii="Arial" w:hAnsi="Arial" w:cs="Arial"/>
          <w:sz w:val="22"/>
          <w:szCs w:val="22"/>
        </w:rPr>
        <w:t>pplying the DPO to the wider land area shows a</w:t>
      </w:r>
      <w:r w:rsidR="00B11652">
        <w:rPr>
          <w:rFonts w:ascii="Arial" w:hAnsi="Arial" w:cs="Arial"/>
          <w:sz w:val="22"/>
          <w:szCs w:val="22"/>
        </w:rPr>
        <w:t xml:space="preserve">n intent </w:t>
      </w:r>
      <w:r w:rsidR="00963270" w:rsidRPr="00963270">
        <w:rPr>
          <w:rFonts w:ascii="Arial" w:hAnsi="Arial" w:cs="Arial"/>
          <w:sz w:val="22"/>
          <w:szCs w:val="22"/>
        </w:rPr>
        <w:t xml:space="preserve">to </w:t>
      </w:r>
      <w:r w:rsidR="00B11652">
        <w:rPr>
          <w:rFonts w:ascii="Arial" w:hAnsi="Arial" w:cs="Arial"/>
          <w:sz w:val="22"/>
          <w:szCs w:val="22"/>
        </w:rPr>
        <w:t xml:space="preserve">consider </w:t>
      </w:r>
      <w:r w:rsidR="00334ED0">
        <w:rPr>
          <w:rFonts w:ascii="Arial" w:hAnsi="Arial" w:cs="Arial"/>
          <w:sz w:val="22"/>
          <w:szCs w:val="22"/>
        </w:rPr>
        <w:t xml:space="preserve">future </w:t>
      </w:r>
      <w:r w:rsidR="00963270" w:rsidRPr="00963270">
        <w:rPr>
          <w:rFonts w:ascii="Arial" w:hAnsi="Arial" w:cs="Arial"/>
          <w:sz w:val="22"/>
          <w:szCs w:val="22"/>
        </w:rPr>
        <w:t xml:space="preserve">development by coordinating a ‘whole of site approach’. </w:t>
      </w:r>
    </w:p>
    <w:p w:rsidR="004D6EA0" w:rsidRPr="004D6EA0" w:rsidRDefault="00855A78" w:rsidP="004D6EA0">
      <w:pPr>
        <w:pStyle w:val="Heading3"/>
        <w:numPr>
          <w:ilvl w:val="0"/>
          <w:numId w:val="0"/>
        </w:numPr>
        <w:jc w:val="left"/>
        <w:rPr>
          <w:rFonts w:ascii="Arial" w:hAnsi="Arial" w:cs="Arial"/>
          <w:szCs w:val="24"/>
        </w:rPr>
      </w:pPr>
      <w:r>
        <w:rPr>
          <w:rFonts w:ascii="Arial" w:hAnsi="Arial" w:cs="Arial"/>
          <w:szCs w:val="24"/>
        </w:rPr>
        <w:t>Does the A</w:t>
      </w:r>
      <w:r w:rsidR="00A068E6" w:rsidRPr="00420A5B">
        <w:rPr>
          <w:rFonts w:ascii="Arial" w:hAnsi="Arial" w:cs="Arial"/>
          <w:szCs w:val="24"/>
        </w:rPr>
        <w:t>mendment make proper use of the Victoria Planning Provisions?</w:t>
      </w:r>
    </w:p>
    <w:p w:rsidR="00963270" w:rsidRPr="00963270" w:rsidRDefault="00963270" w:rsidP="00963270">
      <w:pPr>
        <w:pStyle w:val="StrategicAssessmentText"/>
        <w:ind w:left="0"/>
        <w:jc w:val="left"/>
        <w:rPr>
          <w:rFonts w:ascii="Arial" w:hAnsi="Arial" w:cs="Arial"/>
          <w:sz w:val="22"/>
          <w:szCs w:val="22"/>
        </w:rPr>
      </w:pPr>
      <w:r>
        <w:rPr>
          <w:rFonts w:ascii="Arial" w:hAnsi="Arial" w:cs="Arial"/>
          <w:sz w:val="22"/>
          <w:szCs w:val="22"/>
        </w:rPr>
        <w:t xml:space="preserve">The proper use of the provision is achieved by </w:t>
      </w:r>
      <w:r w:rsidRPr="00963270">
        <w:rPr>
          <w:rFonts w:ascii="Arial" w:hAnsi="Arial" w:cs="Arial"/>
          <w:sz w:val="22"/>
          <w:szCs w:val="22"/>
        </w:rPr>
        <w:t xml:space="preserve">allowing for the land </w:t>
      </w:r>
      <w:r>
        <w:rPr>
          <w:rFonts w:ascii="Arial" w:hAnsi="Arial" w:cs="Arial"/>
          <w:sz w:val="22"/>
          <w:szCs w:val="22"/>
        </w:rPr>
        <w:t xml:space="preserve">identified in the Planning Scheme </w:t>
      </w:r>
      <w:r w:rsidRPr="00963270">
        <w:rPr>
          <w:rFonts w:ascii="Arial" w:hAnsi="Arial" w:cs="Arial"/>
          <w:sz w:val="22"/>
          <w:szCs w:val="22"/>
        </w:rPr>
        <w:t>to be rezoned appropriate</w:t>
      </w:r>
      <w:r>
        <w:rPr>
          <w:rFonts w:ascii="Arial" w:hAnsi="Arial" w:cs="Arial"/>
          <w:sz w:val="22"/>
          <w:szCs w:val="22"/>
        </w:rPr>
        <w:t xml:space="preserve">ly to </w:t>
      </w:r>
      <w:r w:rsidRPr="00963270">
        <w:rPr>
          <w:rFonts w:ascii="Arial" w:hAnsi="Arial" w:cs="Arial"/>
          <w:sz w:val="22"/>
          <w:szCs w:val="22"/>
        </w:rPr>
        <w:t>General</w:t>
      </w:r>
      <w:r>
        <w:rPr>
          <w:rFonts w:ascii="Arial" w:hAnsi="Arial" w:cs="Arial"/>
          <w:sz w:val="22"/>
          <w:szCs w:val="22"/>
        </w:rPr>
        <w:t xml:space="preserve"> </w:t>
      </w:r>
      <w:r w:rsidRPr="00963270">
        <w:rPr>
          <w:rFonts w:ascii="Arial" w:hAnsi="Arial" w:cs="Arial"/>
          <w:sz w:val="22"/>
          <w:szCs w:val="22"/>
        </w:rPr>
        <w:t>Residential Zone.</w:t>
      </w:r>
    </w:p>
    <w:p w:rsidR="004D6EA0" w:rsidRDefault="00963270" w:rsidP="00963270">
      <w:pPr>
        <w:pStyle w:val="StrategicAssessmentText"/>
        <w:ind w:left="0"/>
        <w:jc w:val="left"/>
        <w:rPr>
          <w:rFonts w:ascii="Arial" w:hAnsi="Arial" w:cs="Arial"/>
          <w:sz w:val="22"/>
          <w:szCs w:val="22"/>
        </w:rPr>
      </w:pPr>
      <w:r w:rsidRPr="00963270">
        <w:rPr>
          <w:rFonts w:ascii="Arial" w:hAnsi="Arial" w:cs="Arial"/>
          <w:sz w:val="22"/>
          <w:szCs w:val="22"/>
        </w:rPr>
        <w:t xml:space="preserve">The </w:t>
      </w:r>
      <w:r w:rsidR="00AF45B5">
        <w:rPr>
          <w:rFonts w:ascii="Arial" w:hAnsi="Arial" w:cs="Arial"/>
          <w:sz w:val="22"/>
          <w:szCs w:val="22"/>
        </w:rPr>
        <w:t>Amendment</w:t>
      </w:r>
      <w:r w:rsidRPr="00963270">
        <w:rPr>
          <w:rFonts w:ascii="Arial" w:hAnsi="Arial" w:cs="Arial"/>
          <w:sz w:val="22"/>
          <w:szCs w:val="22"/>
        </w:rPr>
        <w:t xml:space="preserve"> also proposes to use the Development Plan Overlay outlining the</w:t>
      </w:r>
      <w:r>
        <w:rPr>
          <w:rFonts w:ascii="Arial" w:hAnsi="Arial" w:cs="Arial"/>
          <w:sz w:val="22"/>
          <w:szCs w:val="22"/>
        </w:rPr>
        <w:t xml:space="preserve"> </w:t>
      </w:r>
      <w:r w:rsidRPr="00963270">
        <w:rPr>
          <w:rFonts w:ascii="Arial" w:hAnsi="Arial" w:cs="Arial"/>
          <w:sz w:val="22"/>
          <w:szCs w:val="22"/>
        </w:rPr>
        <w:t>requirement for the orderly outcomes of future developments.</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t>How does the A</w:t>
      </w:r>
      <w:r w:rsidR="00A068E6" w:rsidRPr="00420A5B">
        <w:rPr>
          <w:rFonts w:ascii="Arial" w:hAnsi="Arial" w:cs="Arial"/>
          <w:szCs w:val="24"/>
        </w:rPr>
        <w:t>mendment address the views of any relevant agency?</w:t>
      </w:r>
    </w:p>
    <w:p w:rsidR="005D5D08" w:rsidRDefault="00963270" w:rsidP="00963270">
      <w:pPr>
        <w:pStyle w:val="StrategicAssessmentText"/>
        <w:ind w:left="0"/>
        <w:jc w:val="left"/>
        <w:rPr>
          <w:rFonts w:ascii="Arial" w:hAnsi="Arial" w:cs="Arial"/>
          <w:sz w:val="22"/>
          <w:szCs w:val="22"/>
        </w:rPr>
      </w:pPr>
      <w:r w:rsidRPr="00963270">
        <w:rPr>
          <w:rFonts w:ascii="Arial" w:hAnsi="Arial" w:cs="Arial"/>
          <w:sz w:val="22"/>
          <w:szCs w:val="22"/>
        </w:rPr>
        <w:t>The views of planning scheme referral authorities and other agencies were considered in</w:t>
      </w:r>
      <w:r>
        <w:rPr>
          <w:rFonts w:ascii="Arial" w:hAnsi="Arial" w:cs="Arial"/>
          <w:sz w:val="22"/>
          <w:szCs w:val="22"/>
        </w:rPr>
        <w:t xml:space="preserve"> </w:t>
      </w:r>
      <w:r w:rsidRPr="00963270">
        <w:rPr>
          <w:rFonts w:ascii="Arial" w:hAnsi="Arial" w:cs="Arial"/>
          <w:sz w:val="22"/>
          <w:szCs w:val="22"/>
        </w:rPr>
        <w:t xml:space="preserve">the development of the township </w:t>
      </w:r>
      <w:r w:rsidR="00334ED0">
        <w:rPr>
          <w:rFonts w:ascii="Arial" w:hAnsi="Arial" w:cs="Arial"/>
          <w:sz w:val="22"/>
          <w:szCs w:val="22"/>
        </w:rPr>
        <w:t>s</w:t>
      </w:r>
      <w:r w:rsidRPr="00963270">
        <w:rPr>
          <w:rFonts w:ascii="Arial" w:hAnsi="Arial" w:cs="Arial"/>
          <w:sz w:val="22"/>
          <w:szCs w:val="22"/>
        </w:rPr>
        <w:t xml:space="preserve">tructure </w:t>
      </w:r>
      <w:r w:rsidR="00334ED0">
        <w:rPr>
          <w:rFonts w:ascii="Arial" w:hAnsi="Arial" w:cs="Arial"/>
          <w:sz w:val="22"/>
          <w:szCs w:val="22"/>
        </w:rPr>
        <w:t>plan</w:t>
      </w:r>
      <w:r w:rsidRPr="00963270">
        <w:rPr>
          <w:rFonts w:ascii="Arial" w:hAnsi="Arial" w:cs="Arial"/>
          <w:sz w:val="22"/>
          <w:szCs w:val="22"/>
        </w:rPr>
        <w:t xml:space="preserve"> </w:t>
      </w:r>
      <w:r w:rsidR="00334ED0">
        <w:rPr>
          <w:rFonts w:ascii="Arial" w:hAnsi="Arial" w:cs="Arial"/>
          <w:sz w:val="22"/>
          <w:szCs w:val="22"/>
        </w:rPr>
        <w:t xml:space="preserve">which </w:t>
      </w:r>
      <w:r w:rsidRPr="00963270">
        <w:rPr>
          <w:rFonts w:ascii="Arial" w:hAnsi="Arial" w:cs="Arial"/>
          <w:sz w:val="22"/>
          <w:szCs w:val="22"/>
        </w:rPr>
        <w:t>form</w:t>
      </w:r>
      <w:r w:rsidR="00334ED0">
        <w:rPr>
          <w:rFonts w:ascii="Arial" w:hAnsi="Arial" w:cs="Arial"/>
          <w:sz w:val="22"/>
          <w:szCs w:val="22"/>
        </w:rPr>
        <w:t>s</w:t>
      </w:r>
      <w:r w:rsidRPr="00963270">
        <w:rPr>
          <w:rFonts w:ascii="Arial" w:hAnsi="Arial" w:cs="Arial"/>
          <w:sz w:val="22"/>
          <w:szCs w:val="22"/>
        </w:rPr>
        <w:t xml:space="preserve"> the basis of the </w:t>
      </w:r>
      <w:r w:rsidR="00AF45B5">
        <w:rPr>
          <w:rFonts w:ascii="Arial" w:hAnsi="Arial" w:cs="Arial"/>
          <w:sz w:val="22"/>
          <w:szCs w:val="22"/>
        </w:rPr>
        <w:t>Amendment</w:t>
      </w:r>
      <w:r>
        <w:rPr>
          <w:rFonts w:ascii="Arial" w:hAnsi="Arial" w:cs="Arial"/>
          <w:sz w:val="22"/>
          <w:szCs w:val="22"/>
        </w:rPr>
        <w:t xml:space="preserve"> </w:t>
      </w:r>
      <w:r w:rsidRPr="00963270">
        <w:rPr>
          <w:rFonts w:ascii="Arial" w:hAnsi="Arial" w:cs="Arial"/>
          <w:sz w:val="22"/>
          <w:szCs w:val="22"/>
        </w:rPr>
        <w:t xml:space="preserve">provisions. Notice of the </w:t>
      </w:r>
      <w:r w:rsidR="00AF45B5">
        <w:rPr>
          <w:rFonts w:ascii="Arial" w:hAnsi="Arial" w:cs="Arial"/>
          <w:sz w:val="22"/>
          <w:szCs w:val="22"/>
        </w:rPr>
        <w:t>Amendment</w:t>
      </w:r>
      <w:r w:rsidRPr="00963270">
        <w:rPr>
          <w:rFonts w:ascii="Arial" w:hAnsi="Arial" w:cs="Arial"/>
          <w:sz w:val="22"/>
          <w:szCs w:val="22"/>
        </w:rPr>
        <w:t xml:space="preserve"> </w:t>
      </w:r>
      <w:r w:rsidR="00B24E17">
        <w:rPr>
          <w:rFonts w:ascii="Arial" w:hAnsi="Arial" w:cs="Arial"/>
          <w:sz w:val="22"/>
          <w:szCs w:val="22"/>
        </w:rPr>
        <w:t xml:space="preserve">will be </w:t>
      </w:r>
      <w:r w:rsidRPr="00963270">
        <w:rPr>
          <w:rFonts w:ascii="Arial" w:hAnsi="Arial" w:cs="Arial"/>
          <w:sz w:val="22"/>
          <w:szCs w:val="22"/>
        </w:rPr>
        <w:t>provided to the authorities and agencies that</w:t>
      </w:r>
      <w:r>
        <w:rPr>
          <w:rFonts w:ascii="Arial" w:hAnsi="Arial" w:cs="Arial"/>
          <w:sz w:val="22"/>
          <w:szCs w:val="22"/>
        </w:rPr>
        <w:t xml:space="preserve"> </w:t>
      </w:r>
      <w:r w:rsidRPr="00963270">
        <w:rPr>
          <w:rFonts w:ascii="Arial" w:hAnsi="Arial" w:cs="Arial"/>
          <w:sz w:val="22"/>
          <w:szCs w:val="22"/>
        </w:rPr>
        <w:t>have an interest in the development of the townships.</w:t>
      </w:r>
    </w:p>
    <w:p w:rsidR="00BB1CA4" w:rsidRPr="00420A5B" w:rsidRDefault="00BC596D" w:rsidP="008310E5">
      <w:pPr>
        <w:pStyle w:val="Heading3"/>
        <w:numPr>
          <w:ilvl w:val="0"/>
          <w:numId w:val="0"/>
        </w:numPr>
        <w:jc w:val="left"/>
        <w:rPr>
          <w:rFonts w:ascii="Arial" w:hAnsi="Arial" w:cs="Arial"/>
          <w:szCs w:val="24"/>
        </w:rPr>
      </w:pPr>
      <w:r w:rsidRPr="00420A5B">
        <w:rPr>
          <w:rFonts w:ascii="Arial" w:hAnsi="Arial" w:cs="Arial"/>
          <w:szCs w:val="24"/>
        </w:rPr>
        <w:t>D</w:t>
      </w:r>
      <w:r w:rsidR="00855A78">
        <w:rPr>
          <w:rFonts w:ascii="Arial" w:hAnsi="Arial" w:cs="Arial"/>
          <w:szCs w:val="24"/>
        </w:rPr>
        <w:t>oes the A</w:t>
      </w:r>
      <w:r w:rsidR="00B74D9F" w:rsidRPr="00420A5B">
        <w:rPr>
          <w:rFonts w:ascii="Arial" w:hAnsi="Arial" w:cs="Arial"/>
          <w:szCs w:val="24"/>
        </w:rPr>
        <w:t xml:space="preserve">mendment address </w:t>
      </w:r>
      <w:r w:rsidRPr="00420A5B">
        <w:rPr>
          <w:rFonts w:ascii="Arial" w:hAnsi="Arial" w:cs="Arial"/>
          <w:szCs w:val="24"/>
        </w:rPr>
        <w:t>relevant</w:t>
      </w:r>
      <w:r w:rsidR="00B74D9F" w:rsidRPr="00420A5B">
        <w:rPr>
          <w:rFonts w:ascii="Arial" w:hAnsi="Arial" w:cs="Arial"/>
          <w:szCs w:val="24"/>
        </w:rPr>
        <w:t xml:space="preserve"> requirements of the Transport Integration Act 2010?</w:t>
      </w:r>
    </w:p>
    <w:p w:rsidR="00B24E17" w:rsidRPr="00B24E17" w:rsidRDefault="00B24E17" w:rsidP="00B24E17">
      <w:pPr>
        <w:pStyle w:val="StrategicAssessmentText"/>
        <w:ind w:left="0"/>
        <w:jc w:val="left"/>
        <w:rPr>
          <w:rFonts w:ascii="Arial" w:hAnsi="Arial" w:cs="Arial"/>
          <w:sz w:val="22"/>
          <w:szCs w:val="22"/>
        </w:rPr>
      </w:pPr>
      <w:r w:rsidRPr="00B24E17">
        <w:rPr>
          <w:rFonts w:ascii="Arial" w:hAnsi="Arial" w:cs="Arial"/>
          <w:sz w:val="22"/>
          <w:szCs w:val="22"/>
        </w:rPr>
        <w:t xml:space="preserve">The </w:t>
      </w:r>
      <w:r w:rsidR="00AF45B5">
        <w:rPr>
          <w:rFonts w:ascii="Arial" w:hAnsi="Arial" w:cs="Arial"/>
          <w:sz w:val="22"/>
          <w:szCs w:val="22"/>
        </w:rPr>
        <w:t>Amendment</w:t>
      </w:r>
      <w:r w:rsidRPr="00B24E17">
        <w:rPr>
          <w:rFonts w:ascii="Arial" w:hAnsi="Arial" w:cs="Arial"/>
          <w:sz w:val="22"/>
          <w:szCs w:val="22"/>
        </w:rPr>
        <w:t xml:space="preserve"> provisions identify land that </w:t>
      </w:r>
      <w:r>
        <w:rPr>
          <w:rFonts w:ascii="Arial" w:hAnsi="Arial" w:cs="Arial"/>
          <w:sz w:val="22"/>
          <w:szCs w:val="22"/>
        </w:rPr>
        <w:t xml:space="preserve">is </w:t>
      </w:r>
      <w:r w:rsidRPr="00B24E17">
        <w:rPr>
          <w:rFonts w:ascii="Arial" w:hAnsi="Arial" w:cs="Arial"/>
          <w:sz w:val="22"/>
          <w:szCs w:val="22"/>
        </w:rPr>
        <w:t>suitable for township expansion and</w:t>
      </w:r>
      <w:r>
        <w:rPr>
          <w:rFonts w:ascii="Arial" w:hAnsi="Arial" w:cs="Arial"/>
          <w:sz w:val="22"/>
          <w:szCs w:val="22"/>
        </w:rPr>
        <w:t xml:space="preserve"> </w:t>
      </w:r>
      <w:r w:rsidRPr="00B24E17">
        <w:rPr>
          <w:rFonts w:ascii="Arial" w:hAnsi="Arial" w:cs="Arial"/>
          <w:sz w:val="22"/>
          <w:szCs w:val="22"/>
        </w:rPr>
        <w:t>rezones land within the township</w:t>
      </w:r>
      <w:r>
        <w:rPr>
          <w:rFonts w:ascii="Arial" w:hAnsi="Arial" w:cs="Arial"/>
          <w:sz w:val="22"/>
          <w:szCs w:val="22"/>
        </w:rPr>
        <w:t>. This</w:t>
      </w:r>
      <w:r w:rsidRPr="00B24E17">
        <w:rPr>
          <w:rFonts w:ascii="Arial" w:hAnsi="Arial" w:cs="Arial"/>
          <w:sz w:val="22"/>
          <w:szCs w:val="22"/>
        </w:rPr>
        <w:t xml:space="preserve"> do</w:t>
      </w:r>
      <w:r>
        <w:rPr>
          <w:rFonts w:ascii="Arial" w:hAnsi="Arial" w:cs="Arial"/>
          <w:sz w:val="22"/>
          <w:szCs w:val="22"/>
        </w:rPr>
        <w:t>es</w:t>
      </w:r>
      <w:r w:rsidRPr="00B24E17">
        <w:rPr>
          <w:rFonts w:ascii="Arial" w:hAnsi="Arial" w:cs="Arial"/>
          <w:sz w:val="22"/>
          <w:szCs w:val="22"/>
        </w:rPr>
        <w:t xml:space="preserve"> not constitute “a significant impact on the transport system”.</w:t>
      </w:r>
    </w:p>
    <w:p w:rsidR="00814A45" w:rsidRPr="00823BB7" w:rsidRDefault="00814A45" w:rsidP="008310E5">
      <w:pPr>
        <w:pStyle w:val="Heading2"/>
        <w:jc w:val="left"/>
        <w:rPr>
          <w:rFonts w:cs="Arial"/>
        </w:rPr>
      </w:pPr>
      <w:r w:rsidRPr="00823BB7">
        <w:rPr>
          <w:rFonts w:cs="Arial"/>
        </w:rPr>
        <w:t>Resource and administrative costs</w:t>
      </w:r>
    </w:p>
    <w:p w:rsidR="00A068E6" w:rsidRPr="00823BB7" w:rsidRDefault="00A068E6" w:rsidP="008310E5">
      <w:pPr>
        <w:pStyle w:val="Heading3"/>
        <w:jc w:val="left"/>
        <w:rPr>
          <w:rFonts w:ascii="Arial" w:hAnsi="Arial" w:cs="Arial"/>
          <w:szCs w:val="24"/>
        </w:rPr>
      </w:pPr>
      <w:r w:rsidRPr="00823BB7">
        <w:rPr>
          <w:rFonts w:ascii="Arial" w:hAnsi="Arial" w:cs="Arial"/>
          <w:szCs w:val="24"/>
        </w:rPr>
        <w:t>What impact will the new planning provisions have on the resource and administrative costs of the responsible authority?</w:t>
      </w:r>
    </w:p>
    <w:p w:rsidR="00B24E17" w:rsidRPr="00B24E17" w:rsidRDefault="00B24E17" w:rsidP="00B24E17">
      <w:pPr>
        <w:jc w:val="left"/>
        <w:rPr>
          <w:rFonts w:ascii="Arial" w:hAnsi="Arial" w:cs="Arial"/>
          <w:sz w:val="22"/>
          <w:szCs w:val="22"/>
        </w:rPr>
      </w:pPr>
      <w:r w:rsidRPr="00B24E17">
        <w:rPr>
          <w:rFonts w:ascii="Arial" w:hAnsi="Arial" w:cs="Arial"/>
          <w:sz w:val="22"/>
          <w:szCs w:val="22"/>
        </w:rPr>
        <w:t xml:space="preserve">The </w:t>
      </w:r>
      <w:r w:rsidR="00AF45B5">
        <w:rPr>
          <w:rFonts w:ascii="Arial" w:hAnsi="Arial" w:cs="Arial"/>
          <w:sz w:val="22"/>
          <w:szCs w:val="22"/>
        </w:rPr>
        <w:t>Amendment</w:t>
      </w:r>
      <w:r w:rsidRPr="00B24E17">
        <w:rPr>
          <w:rFonts w:ascii="Arial" w:hAnsi="Arial" w:cs="Arial"/>
          <w:sz w:val="22"/>
          <w:szCs w:val="22"/>
        </w:rPr>
        <w:t xml:space="preserve"> </w:t>
      </w:r>
      <w:r>
        <w:rPr>
          <w:rFonts w:ascii="Arial" w:hAnsi="Arial" w:cs="Arial"/>
          <w:sz w:val="22"/>
          <w:szCs w:val="22"/>
        </w:rPr>
        <w:t xml:space="preserve">applies the </w:t>
      </w:r>
      <w:r w:rsidRPr="00B24E17">
        <w:rPr>
          <w:rFonts w:ascii="Arial" w:hAnsi="Arial" w:cs="Arial"/>
          <w:sz w:val="22"/>
          <w:szCs w:val="22"/>
        </w:rPr>
        <w:t xml:space="preserve">strategic </w:t>
      </w:r>
      <w:r>
        <w:rPr>
          <w:rFonts w:ascii="Arial" w:hAnsi="Arial" w:cs="Arial"/>
          <w:sz w:val="22"/>
          <w:szCs w:val="22"/>
        </w:rPr>
        <w:t xml:space="preserve">justification for township expansion </w:t>
      </w:r>
      <w:r w:rsidRPr="00B24E17">
        <w:rPr>
          <w:rFonts w:ascii="Arial" w:hAnsi="Arial" w:cs="Arial"/>
          <w:sz w:val="22"/>
          <w:szCs w:val="22"/>
        </w:rPr>
        <w:t>in accordance with the MSS township provisions.</w:t>
      </w:r>
      <w:r>
        <w:rPr>
          <w:rFonts w:ascii="Arial" w:hAnsi="Arial" w:cs="Arial"/>
          <w:sz w:val="22"/>
          <w:szCs w:val="22"/>
        </w:rPr>
        <w:t xml:space="preserve"> </w:t>
      </w:r>
      <w:r w:rsidRPr="00B24E17">
        <w:rPr>
          <w:rFonts w:ascii="Arial" w:hAnsi="Arial" w:cs="Arial"/>
          <w:sz w:val="22"/>
          <w:szCs w:val="22"/>
        </w:rPr>
        <w:t>This will assist Council and private landowners in facilitating the development of land and</w:t>
      </w:r>
      <w:r w:rsidRPr="00B24E17">
        <w:t xml:space="preserve"> </w:t>
      </w:r>
      <w:r w:rsidRPr="00B24E17">
        <w:rPr>
          <w:rFonts w:ascii="Arial" w:hAnsi="Arial" w:cs="Arial"/>
          <w:sz w:val="22"/>
          <w:szCs w:val="22"/>
        </w:rPr>
        <w:t>lessen the resource and administrative costs to all parties involved in facilitating</w:t>
      </w:r>
      <w:r>
        <w:rPr>
          <w:rFonts w:ascii="Arial" w:hAnsi="Arial" w:cs="Arial"/>
          <w:sz w:val="22"/>
          <w:szCs w:val="22"/>
        </w:rPr>
        <w:t xml:space="preserve"> </w:t>
      </w:r>
      <w:r w:rsidRPr="00B24E17">
        <w:rPr>
          <w:rFonts w:ascii="Arial" w:hAnsi="Arial" w:cs="Arial"/>
          <w:sz w:val="22"/>
          <w:szCs w:val="22"/>
        </w:rPr>
        <w:t>development.</w:t>
      </w:r>
    </w:p>
    <w:p w:rsidR="00261580" w:rsidRDefault="00B24E17" w:rsidP="00B24E17">
      <w:pPr>
        <w:jc w:val="left"/>
        <w:rPr>
          <w:rFonts w:ascii="Arial" w:hAnsi="Arial" w:cs="Arial"/>
          <w:sz w:val="22"/>
          <w:szCs w:val="22"/>
        </w:rPr>
      </w:pPr>
      <w:r w:rsidRPr="00B24E17">
        <w:rPr>
          <w:rFonts w:ascii="Arial" w:hAnsi="Arial" w:cs="Arial"/>
          <w:sz w:val="22"/>
          <w:szCs w:val="22"/>
        </w:rPr>
        <w:t>Township growth will have implications for Council’s capital works budgets. The</w:t>
      </w:r>
      <w:r>
        <w:rPr>
          <w:rFonts w:ascii="Arial" w:hAnsi="Arial" w:cs="Arial"/>
          <w:sz w:val="22"/>
          <w:szCs w:val="22"/>
        </w:rPr>
        <w:t xml:space="preserve">se </w:t>
      </w:r>
      <w:r w:rsidRPr="00B24E17">
        <w:rPr>
          <w:rFonts w:ascii="Arial" w:hAnsi="Arial" w:cs="Arial"/>
          <w:sz w:val="22"/>
          <w:szCs w:val="22"/>
        </w:rPr>
        <w:t xml:space="preserve">implications </w:t>
      </w:r>
      <w:r>
        <w:rPr>
          <w:rFonts w:ascii="Arial" w:hAnsi="Arial" w:cs="Arial"/>
          <w:sz w:val="22"/>
          <w:szCs w:val="22"/>
        </w:rPr>
        <w:t>are to</w:t>
      </w:r>
      <w:r w:rsidRPr="00B24E17">
        <w:rPr>
          <w:rFonts w:ascii="Arial" w:hAnsi="Arial" w:cs="Arial"/>
          <w:sz w:val="22"/>
          <w:szCs w:val="22"/>
        </w:rPr>
        <w:t xml:space="preserve"> be closely considered before greenfield land is </w:t>
      </w:r>
      <w:r>
        <w:rPr>
          <w:rFonts w:ascii="Arial" w:hAnsi="Arial" w:cs="Arial"/>
          <w:sz w:val="22"/>
          <w:szCs w:val="22"/>
        </w:rPr>
        <w:t>developed</w:t>
      </w:r>
      <w:r w:rsidRPr="00B24E17">
        <w:rPr>
          <w:rFonts w:ascii="Arial" w:hAnsi="Arial" w:cs="Arial"/>
          <w:sz w:val="22"/>
          <w:szCs w:val="22"/>
        </w:rPr>
        <w:t xml:space="preserve">. </w:t>
      </w:r>
      <w:r>
        <w:rPr>
          <w:rFonts w:ascii="Arial" w:hAnsi="Arial" w:cs="Arial"/>
          <w:sz w:val="22"/>
          <w:szCs w:val="22"/>
        </w:rPr>
        <w:t>A</w:t>
      </w:r>
      <w:r w:rsidRPr="00B24E17">
        <w:rPr>
          <w:rFonts w:ascii="Arial" w:hAnsi="Arial" w:cs="Arial"/>
          <w:sz w:val="22"/>
          <w:szCs w:val="22"/>
        </w:rPr>
        <w:t>ppropriate development contributions will be required to support new</w:t>
      </w:r>
      <w:r>
        <w:rPr>
          <w:rFonts w:ascii="Arial" w:hAnsi="Arial" w:cs="Arial"/>
          <w:sz w:val="22"/>
          <w:szCs w:val="22"/>
        </w:rPr>
        <w:t xml:space="preserve"> </w:t>
      </w:r>
      <w:r w:rsidRPr="00B24E17">
        <w:rPr>
          <w:rFonts w:ascii="Arial" w:hAnsi="Arial" w:cs="Arial"/>
          <w:sz w:val="22"/>
          <w:szCs w:val="22"/>
        </w:rPr>
        <w:t>development.</w:t>
      </w:r>
    </w:p>
    <w:p w:rsidR="00A068E6" w:rsidRPr="00823BB7" w:rsidRDefault="00A068E6" w:rsidP="008310E5">
      <w:pPr>
        <w:pStyle w:val="Heading2"/>
        <w:jc w:val="left"/>
        <w:rPr>
          <w:rFonts w:cs="Arial"/>
        </w:rPr>
      </w:pPr>
      <w:r w:rsidRPr="00823BB7">
        <w:rPr>
          <w:rFonts w:cs="Arial"/>
        </w:rPr>
        <w:t>Where</w:t>
      </w:r>
      <w:r w:rsidR="00814A45" w:rsidRPr="00823BB7">
        <w:rPr>
          <w:rFonts w:cs="Arial"/>
        </w:rPr>
        <w:t xml:space="preserve"> you may inspect this Amendment</w:t>
      </w:r>
    </w:p>
    <w:p w:rsidR="00A068E6" w:rsidRPr="00F27102" w:rsidRDefault="00A068E6" w:rsidP="008310E5">
      <w:pPr>
        <w:jc w:val="left"/>
        <w:rPr>
          <w:rFonts w:ascii="Arial" w:hAnsi="Arial" w:cs="Arial"/>
          <w:sz w:val="22"/>
          <w:szCs w:val="22"/>
        </w:rPr>
      </w:pPr>
      <w:r w:rsidRPr="00F27102">
        <w:rPr>
          <w:rFonts w:ascii="Arial" w:hAnsi="Arial" w:cs="Arial"/>
          <w:sz w:val="22"/>
          <w:szCs w:val="22"/>
        </w:rPr>
        <w:t xml:space="preserve">The </w:t>
      </w:r>
      <w:r w:rsidR="00855A78">
        <w:rPr>
          <w:rFonts w:ascii="Arial" w:hAnsi="Arial" w:cs="Arial"/>
          <w:sz w:val="22"/>
          <w:szCs w:val="22"/>
        </w:rPr>
        <w:t>A</w:t>
      </w:r>
      <w:r w:rsidRPr="00F27102">
        <w:rPr>
          <w:rFonts w:ascii="Arial" w:hAnsi="Arial" w:cs="Arial"/>
          <w:sz w:val="22"/>
          <w:szCs w:val="22"/>
        </w:rPr>
        <w:t>mendment is available for public inspection, free of charge, during offic</w:t>
      </w:r>
      <w:r w:rsidR="00821867" w:rsidRPr="00F27102">
        <w:rPr>
          <w:rFonts w:ascii="Arial" w:hAnsi="Arial" w:cs="Arial"/>
          <w:sz w:val="22"/>
          <w:szCs w:val="22"/>
        </w:rPr>
        <w:t>e hours at the following places:</w:t>
      </w:r>
    </w:p>
    <w:p w:rsidR="00FE71B0" w:rsidRPr="00334ED0" w:rsidRDefault="00F21B15" w:rsidP="00F21B15">
      <w:pPr>
        <w:jc w:val="left"/>
        <w:rPr>
          <w:rFonts w:ascii="Arial" w:hAnsi="Arial" w:cs="Arial"/>
          <w:sz w:val="22"/>
          <w:szCs w:val="22"/>
        </w:rPr>
      </w:pPr>
      <w:r w:rsidRPr="00F21B15">
        <w:rPr>
          <w:rFonts w:ascii="Arial" w:hAnsi="Arial" w:cs="Arial"/>
          <w:sz w:val="22"/>
          <w:szCs w:val="22"/>
        </w:rPr>
        <w:t>South Gippsland Shire Council , 9 Smith Street Leongatha, and Council’s web page</w:t>
      </w:r>
      <w:r>
        <w:rPr>
          <w:rFonts w:ascii="Arial" w:hAnsi="Arial" w:cs="Arial"/>
          <w:color w:val="FF0000"/>
          <w:sz w:val="22"/>
          <w:szCs w:val="22"/>
        </w:rPr>
        <w:t xml:space="preserve"> </w:t>
      </w:r>
      <w:hyperlink r:id="rId9" w:history="1">
        <w:r w:rsidRPr="00796A39">
          <w:rPr>
            <w:rStyle w:val="Hyperlink"/>
            <w:rFonts w:ascii="Arial" w:hAnsi="Arial" w:cs="Arial"/>
            <w:sz w:val="22"/>
            <w:szCs w:val="22"/>
          </w:rPr>
          <w:t>www.southgippsland.vic.gov.au</w:t>
        </w:r>
      </w:hyperlink>
      <w:r>
        <w:rPr>
          <w:rFonts w:ascii="Arial" w:hAnsi="Arial" w:cs="Arial"/>
          <w:color w:val="FF0000"/>
          <w:sz w:val="22"/>
          <w:szCs w:val="22"/>
        </w:rPr>
        <w:t xml:space="preserve"> </w:t>
      </w:r>
      <w:r w:rsidRPr="00334ED0">
        <w:rPr>
          <w:rFonts w:ascii="Arial" w:hAnsi="Arial" w:cs="Arial"/>
          <w:sz w:val="22"/>
          <w:szCs w:val="22"/>
        </w:rPr>
        <w:t>.</w:t>
      </w:r>
    </w:p>
    <w:p w:rsidR="00A068E6" w:rsidRPr="00F27102" w:rsidRDefault="00A009DB" w:rsidP="008310E5">
      <w:pPr>
        <w:jc w:val="left"/>
        <w:rPr>
          <w:rFonts w:ascii="Arial" w:hAnsi="Arial" w:cs="Arial"/>
          <w:sz w:val="22"/>
          <w:szCs w:val="22"/>
        </w:rPr>
      </w:pPr>
      <w:r w:rsidRPr="00334ED0">
        <w:rPr>
          <w:rFonts w:ascii="Arial" w:hAnsi="Arial" w:cs="Arial"/>
          <w:sz w:val="22"/>
          <w:szCs w:val="22"/>
        </w:rPr>
        <w:t xml:space="preserve">The </w:t>
      </w:r>
      <w:r w:rsidR="00855A78" w:rsidRPr="00334ED0">
        <w:rPr>
          <w:rFonts w:ascii="Arial" w:hAnsi="Arial" w:cs="Arial"/>
          <w:sz w:val="22"/>
          <w:szCs w:val="22"/>
        </w:rPr>
        <w:t>A</w:t>
      </w:r>
      <w:r w:rsidRPr="00334ED0">
        <w:rPr>
          <w:rFonts w:ascii="Arial" w:hAnsi="Arial" w:cs="Arial"/>
          <w:sz w:val="22"/>
          <w:szCs w:val="22"/>
        </w:rPr>
        <w:t>mendment</w:t>
      </w:r>
      <w:r w:rsidR="00821867" w:rsidRPr="00334ED0">
        <w:rPr>
          <w:rFonts w:ascii="Arial" w:hAnsi="Arial" w:cs="Arial"/>
          <w:sz w:val="22"/>
          <w:szCs w:val="22"/>
        </w:rPr>
        <w:t xml:space="preserve"> can also be inspected</w:t>
      </w:r>
      <w:r w:rsidR="00821867" w:rsidRPr="00F27102">
        <w:rPr>
          <w:rFonts w:ascii="Arial" w:hAnsi="Arial" w:cs="Arial"/>
          <w:sz w:val="22"/>
          <w:szCs w:val="22"/>
        </w:rPr>
        <w:t xml:space="preserve"> free of charge at the </w:t>
      </w:r>
      <w:r w:rsidR="00855A78" w:rsidRPr="00855A78">
        <w:rPr>
          <w:rFonts w:ascii="Arial" w:hAnsi="Arial" w:cs="Arial"/>
          <w:sz w:val="22"/>
          <w:szCs w:val="22"/>
        </w:rPr>
        <w:t xml:space="preserve">Department of Environment, Land, Water and Planning </w:t>
      </w:r>
      <w:r w:rsidR="009A2D3F" w:rsidRPr="00F27102">
        <w:rPr>
          <w:rFonts w:ascii="Arial" w:hAnsi="Arial" w:cs="Arial"/>
          <w:sz w:val="22"/>
          <w:szCs w:val="22"/>
        </w:rPr>
        <w:t>web</w:t>
      </w:r>
      <w:r w:rsidR="00821867" w:rsidRPr="00F27102">
        <w:rPr>
          <w:rFonts w:ascii="Arial" w:hAnsi="Arial" w:cs="Arial"/>
          <w:sz w:val="22"/>
          <w:szCs w:val="22"/>
        </w:rPr>
        <w:t xml:space="preserve">site at </w:t>
      </w:r>
      <w:hyperlink r:id="rId10" w:history="1">
        <w:r w:rsidR="00493840" w:rsidRPr="00A66B6A">
          <w:rPr>
            <w:rStyle w:val="Hyperlink"/>
            <w:rFonts w:ascii="Arial" w:hAnsi="Arial" w:cs="Arial"/>
            <w:sz w:val="22"/>
            <w:szCs w:val="22"/>
          </w:rPr>
          <w:t>www.dtpli.vic.gov.au/publicinspection</w:t>
        </w:r>
      </w:hyperlink>
      <w:r w:rsidR="005C7405">
        <w:rPr>
          <w:rFonts w:ascii="Arial" w:hAnsi="Arial" w:cs="Arial"/>
          <w:sz w:val="22"/>
          <w:szCs w:val="22"/>
        </w:rPr>
        <w:t xml:space="preserve"> </w:t>
      </w:r>
      <w:r w:rsidR="00821867" w:rsidRPr="00F27102">
        <w:rPr>
          <w:rFonts w:ascii="Arial" w:hAnsi="Arial" w:cs="Arial"/>
          <w:sz w:val="22"/>
          <w:szCs w:val="22"/>
        </w:rPr>
        <w:t>.</w:t>
      </w:r>
    </w:p>
    <w:p w:rsidR="00E85EC7" w:rsidRPr="000C4CD6" w:rsidRDefault="00E85EC7" w:rsidP="008310E5">
      <w:pPr>
        <w:pStyle w:val="Heading2"/>
        <w:jc w:val="left"/>
        <w:rPr>
          <w:rFonts w:cs="Arial"/>
        </w:rPr>
      </w:pPr>
      <w:r w:rsidRPr="000C4CD6">
        <w:rPr>
          <w:rFonts w:cs="Arial"/>
        </w:rPr>
        <w:t xml:space="preserve">Submissions </w:t>
      </w:r>
    </w:p>
    <w:p w:rsidR="00E85EC7" w:rsidRPr="00054E0A" w:rsidRDefault="00E85EC7" w:rsidP="008310E5">
      <w:pPr>
        <w:jc w:val="left"/>
        <w:rPr>
          <w:rFonts w:ascii="Arial" w:hAnsi="Arial" w:cs="Arial"/>
          <w:sz w:val="22"/>
          <w:szCs w:val="22"/>
        </w:rPr>
      </w:pPr>
      <w:r w:rsidRPr="000C4CD6">
        <w:rPr>
          <w:rFonts w:ascii="Arial" w:hAnsi="Arial" w:cs="Arial"/>
          <w:sz w:val="22"/>
          <w:szCs w:val="22"/>
        </w:rPr>
        <w:t>Any per</w:t>
      </w:r>
      <w:r w:rsidR="00855A78">
        <w:rPr>
          <w:rFonts w:ascii="Arial" w:hAnsi="Arial" w:cs="Arial"/>
          <w:sz w:val="22"/>
          <w:szCs w:val="22"/>
        </w:rPr>
        <w:t>son who may be affected by the A</w:t>
      </w:r>
      <w:r w:rsidRPr="000C4CD6">
        <w:rPr>
          <w:rFonts w:ascii="Arial" w:hAnsi="Arial" w:cs="Arial"/>
          <w:sz w:val="22"/>
          <w:szCs w:val="22"/>
        </w:rPr>
        <w:t>mendment may make a submission to the planning aut</w:t>
      </w:r>
      <w:r w:rsidR="00855A78">
        <w:rPr>
          <w:rFonts w:ascii="Arial" w:hAnsi="Arial" w:cs="Arial"/>
          <w:sz w:val="22"/>
          <w:szCs w:val="22"/>
        </w:rPr>
        <w:t>hority.  Submissions about the A</w:t>
      </w:r>
      <w:r w:rsidRPr="000C4CD6">
        <w:rPr>
          <w:rFonts w:ascii="Arial" w:hAnsi="Arial" w:cs="Arial"/>
          <w:sz w:val="22"/>
          <w:szCs w:val="22"/>
        </w:rPr>
        <w:t xml:space="preserve">mendment must be received by </w:t>
      </w:r>
      <w:r w:rsidR="00054E0A">
        <w:rPr>
          <w:rFonts w:ascii="Arial" w:hAnsi="Arial" w:cs="Arial"/>
          <w:sz w:val="22"/>
          <w:szCs w:val="22"/>
        </w:rPr>
        <w:t xml:space="preserve">Monday, 31 </w:t>
      </w:r>
      <w:r w:rsidR="00054E0A" w:rsidRPr="00054E0A">
        <w:rPr>
          <w:rFonts w:ascii="Arial" w:hAnsi="Arial" w:cs="Arial"/>
          <w:sz w:val="22"/>
          <w:szCs w:val="22"/>
        </w:rPr>
        <w:t>August 2015</w:t>
      </w:r>
      <w:r w:rsidRPr="00054E0A">
        <w:rPr>
          <w:rFonts w:ascii="Arial" w:hAnsi="Arial" w:cs="Arial"/>
          <w:sz w:val="22"/>
          <w:szCs w:val="22"/>
        </w:rPr>
        <w:t>.</w:t>
      </w:r>
    </w:p>
    <w:p w:rsidR="00F21B15" w:rsidRPr="00054E0A" w:rsidRDefault="00E85EC7" w:rsidP="00F21B15">
      <w:pPr>
        <w:tabs>
          <w:tab w:val="left" w:pos="3119"/>
        </w:tabs>
        <w:jc w:val="left"/>
        <w:rPr>
          <w:rFonts w:ascii="Arial" w:hAnsi="Arial" w:cs="Arial"/>
          <w:sz w:val="22"/>
          <w:szCs w:val="22"/>
        </w:rPr>
      </w:pPr>
      <w:r w:rsidRPr="00054E0A">
        <w:rPr>
          <w:rFonts w:ascii="Arial" w:hAnsi="Arial" w:cs="Arial"/>
          <w:sz w:val="22"/>
          <w:szCs w:val="22"/>
        </w:rPr>
        <w:t xml:space="preserve">A submission must be sent to: </w:t>
      </w:r>
      <w:r w:rsidR="00F21B15" w:rsidRPr="00054E0A">
        <w:rPr>
          <w:rFonts w:ascii="Arial" w:hAnsi="Arial" w:cs="Arial"/>
          <w:sz w:val="22"/>
          <w:szCs w:val="22"/>
        </w:rPr>
        <w:tab/>
        <w:t xml:space="preserve">South Gippsland Shire Council, </w:t>
      </w:r>
    </w:p>
    <w:p w:rsidR="009F0914" w:rsidRPr="00054E0A" w:rsidRDefault="009F0914" w:rsidP="009F0914">
      <w:pPr>
        <w:tabs>
          <w:tab w:val="left" w:pos="3119"/>
        </w:tabs>
        <w:jc w:val="left"/>
        <w:rPr>
          <w:rFonts w:ascii="Arial" w:hAnsi="Arial" w:cs="Arial"/>
          <w:sz w:val="22"/>
          <w:szCs w:val="22"/>
        </w:rPr>
      </w:pPr>
      <w:r w:rsidRPr="00054E0A">
        <w:rPr>
          <w:rFonts w:ascii="Arial" w:hAnsi="Arial" w:cs="Arial"/>
          <w:sz w:val="22"/>
          <w:szCs w:val="22"/>
        </w:rPr>
        <w:tab/>
        <w:t>Att Nick Edwards</w:t>
      </w:r>
    </w:p>
    <w:p w:rsidR="009F0914" w:rsidRPr="00054E0A" w:rsidRDefault="009F0914" w:rsidP="00F21B15">
      <w:pPr>
        <w:tabs>
          <w:tab w:val="left" w:pos="3119"/>
        </w:tabs>
        <w:jc w:val="left"/>
        <w:rPr>
          <w:rFonts w:ascii="Arial" w:hAnsi="Arial" w:cs="Arial"/>
          <w:sz w:val="22"/>
          <w:szCs w:val="22"/>
        </w:rPr>
      </w:pPr>
      <w:r w:rsidRPr="00054E0A">
        <w:rPr>
          <w:rFonts w:ascii="Arial" w:hAnsi="Arial" w:cs="Arial"/>
          <w:sz w:val="22"/>
          <w:szCs w:val="22"/>
        </w:rPr>
        <w:tab/>
        <w:t>Private Bag 4, (or 9 Smith Street),</w:t>
      </w:r>
    </w:p>
    <w:p w:rsidR="009F0914" w:rsidRPr="00054E0A" w:rsidRDefault="009F0914" w:rsidP="009F0914">
      <w:pPr>
        <w:tabs>
          <w:tab w:val="left" w:pos="3119"/>
          <w:tab w:val="left" w:pos="5812"/>
        </w:tabs>
        <w:jc w:val="left"/>
        <w:rPr>
          <w:rFonts w:ascii="Arial" w:hAnsi="Arial" w:cs="Arial"/>
          <w:sz w:val="22"/>
          <w:szCs w:val="22"/>
        </w:rPr>
      </w:pPr>
      <w:r w:rsidRPr="00054E0A">
        <w:rPr>
          <w:rFonts w:ascii="Arial" w:hAnsi="Arial" w:cs="Arial"/>
          <w:sz w:val="22"/>
          <w:szCs w:val="22"/>
        </w:rPr>
        <w:tab/>
        <w:t xml:space="preserve">Leongatha, </w:t>
      </w:r>
      <w:r w:rsidRPr="00054E0A">
        <w:rPr>
          <w:rFonts w:ascii="Arial" w:hAnsi="Arial" w:cs="Arial"/>
          <w:sz w:val="22"/>
          <w:szCs w:val="22"/>
        </w:rPr>
        <w:tab/>
        <w:t>3953</w:t>
      </w:r>
    </w:p>
    <w:p w:rsidR="00E85EC7" w:rsidRPr="00054E0A" w:rsidRDefault="00E85EC7" w:rsidP="008310E5">
      <w:pPr>
        <w:pStyle w:val="Heading2"/>
        <w:jc w:val="left"/>
        <w:rPr>
          <w:rFonts w:cs="Arial"/>
        </w:rPr>
      </w:pPr>
      <w:r w:rsidRPr="00054E0A">
        <w:rPr>
          <w:rFonts w:cs="Arial"/>
        </w:rPr>
        <w:t xml:space="preserve">Panel hearing dates </w:t>
      </w:r>
    </w:p>
    <w:p w:rsidR="00E85EC7" w:rsidRPr="00054E0A" w:rsidRDefault="00E85EC7" w:rsidP="008310E5">
      <w:pPr>
        <w:jc w:val="left"/>
        <w:rPr>
          <w:rFonts w:ascii="Arial" w:hAnsi="Arial" w:cs="Arial"/>
          <w:sz w:val="22"/>
          <w:szCs w:val="22"/>
        </w:rPr>
      </w:pPr>
      <w:r w:rsidRPr="00054E0A">
        <w:rPr>
          <w:rFonts w:ascii="Arial" w:hAnsi="Arial" w:cs="Arial"/>
          <w:sz w:val="22"/>
          <w:szCs w:val="22"/>
        </w:rPr>
        <w:t xml:space="preserve">In accordance with clause 4(2) of Ministerial Direction No.15 the following panel hearing dates have been set for this </w:t>
      </w:r>
      <w:r w:rsidR="00AF45B5">
        <w:rPr>
          <w:rFonts w:ascii="Arial" w:hAnsi="Arial" w:cs="Arial"/>
          <w:sz w:val="22"/>
          <w:szCs w:val="22"/>
        </w:rPr>
        <w:t>Amendment</w:t>
      </w:r>
      <w:r w:rsidRPr="00054E0A">
        <w:rPr>
          <w:rFonts w:ascii="Arial" w:hAnsi="Arial" w:cs="Arial"/>
          <w:sz w:val="22"/>
          <w:szCs w:val="22"/>
        </w:rPr>
        <w:t>:</w:t>
      </w:r>
    </w:p>
    <w:p w:rsidR="00E85EC7" w:rsidRPr="00054E0A" w:rsidRDefault="00E85EC7" w:rsidP="008310E5">
      <w:pPr>
        <w:numPr>
          <w:ilvl w:val="0"/>
          <w:numId w:val="40"/>
        </w:numPr>
        <w:spacing w:after="120"/>
        <w:ind w:left="357" w:hanging="357"/>
        <w:jc w:val="left"/>
        <w:rPr>
          <w:rFonts w:ascii="New York" w:hAnsi="New York"/>
          <w:sz w:val="22"/>
          <w:szCs w:val="22"/>
        </w:rPr>
      </w:pPr>
      <w:r w:rsidRPr="00054E0A">
        <w:rPr>
          <w:rFonts w:ascii="Arial" w:hAnsi="Arial" w:cs="Arial"/>
          <w:sz w:val="22"/>
          <w:szCs w:val="22"/>
        </w:rPr>
        <w:t xml:space="preserve">directions hearing:  </w:t>
      </w:r>
      <w:r w:rsidR="00054E0A" w:rsidRPr="00054E0A">
        <w:rPr>
          <w:rFonts w:ascii="Arial" w:hAnsi="Arial" w:cs="Arial"/>
          <w:sz w:val="22"/>
          <w:szCs w:val="22"/>
        </w:rPr>
        <w:t>week starting 5 October 2015</w:t>
      </w:r>
    </w:p>
    <w:p w:rsidR="00FE71B0" w:rsidRPr="00054E0A" w:rsidRDefault="00E85EC7" w:rsidP="008310E5">
      <w:pPr>
        <w:numPr>
          <w:ilvl w:val="0"/>
          <w:numId w:val="40"/>
        </w:numPr>
        <w:spacing w:after="120"/>
        <w:ind w:left="357" w:hanging="357"/>
        <w:jc w:val="left"/>
        <w:rPr>
          <w:sz w:val="22"/>
          <w:szCs w:val="22"/>
        </w:rPr>
      </w:pPr>
      <w:r w:rsidRPr="00054E0A">
        <w:rPr>
          <w:rFonts w:ascii="Arial" w:hAnsi="Arial" w:cs="Arial"/>
          <w:sz w:val="22"/>
          <w:szCs w:val="22"/>
        </w:rPr>
        <w:t xml:space="preserve">panel hearing:  </w:t>
      </w:r>
      <w:r w:rsidR="00054E0A" w:rsidRPr="00054E0A">
        <w:rPr>
          <w:rFonts w:ascii="Arial" w:hAnsi="Arial" w:cs="Arial"/>
          <w:sz w:val="22"/>
          <w:szCs w:val="22"/>
        </w:rPr>
        <w:t>week starting 9 November 2015</w:t>
      </w:r>
    </w:p>
    <w:p w:rsidR="00A068E6" w:rsidRDefault="00A068E6">
      <w:pPr>
        <w:jc w:val="center"/>
        <w:rPr>
          <w:rFonts w:ascii="Arial" w:hAnsi="Arial"/>
          <w:vanish/>
        </w:rPr>
      </w:pPr>
    </w:p>
    <w:sectPr w:rsidR="00A068E6" w:rsidSect="00E85EC7">
      <w:type w:val="continuous"/>
      <w:pgSz w:w="11907" w:h="16840" w:code="9"/>
      <w:pgMar w:top="993" w:right="1423" w:bottom="851" w:left="1440" w:header="737" w:footer="851" w:gutter="0"/>
      <w:cols w:space="73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FA" w:rsidRDefault="009079FA">
      <w:r>
        <w:separator/>
      </w:r>
    </w:p>
  </w:endnote>
  <w:endnote w:type="continuationSeparator" w:id="0">
    <w:p w:rsidR="009079FA" w:rsidRDefault="0090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FA" w:rsidRDefault="009079FA">
      <w:r>
        <w:separator/>
      </w:r>
    </w:p>
  </w:footnote>
  <w:footnote w:type="continuationSeparator" w:id="0">
    <w:p w:rsidR="009079FA" w:rsidRDefault="00907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5BB"/>
    <w:multiLevelType w:val="hybridMultilevel"/>
    <w:tmpl w:val="D57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74110B"/>
    <w:multiLevelType w:val="hybridMultilevel"/>
    <w:tmpl w:val="01685A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3682D32"/>
    <w:multiLevelType w:val="hybridMultilevel"/>
    <w:tmpl w:val="167E2A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7C3E0F"/>
    <w:multiLevelType w:val="multilevel"/>
    <w:tmpl w:val="C16CF884"/>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C41885"/>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5">
    <w:nsid w:val="17D86982"/>
    <w:multiLevelType w:val="multilevel"/>
    <w:tmpl w:val="F7D8DBB4"/>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11B4C28"/>
    <w:multiLevelType w:val="hybridMultilevel"/>
    <w:tmpl w:val="BE020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22C23241"/>
    <w:multiLevelType w:val="multilevel"/>
    <w:tmpl w:val="2D7A12B6"/>
    <w:lvl w:ilvl="0">
      <w:start w:val="1"/>
      <w:numFmt w:val="bullet"/>
      <w:lvlText w:val=""/>
      <w:lvlJc w:val="left"/>
      <w:pPr>
        <w:tabs>
          <w:tab w:val="num" w:pos="1800"/>
        </w:tabs>
        <w:ind w:left="1800" w:hanging="360"/>
      </w:pPr>
      <w:rPr>
        <w:rFonts w:ascii="Symbol" w:hAnsi="Symbol" w:hint="default"/>
        <w:b w:val="0"/>
        <w:i w:val="0"/>
        <w:sz w:val="18"/>
        <w:szCs w:val="18"/>
      </w:rPr>
    </w:lvl>
    <w:lvl w:ilvl="1">
      <w:start w:val="1"/>
      <w:numFmt w:val="bullet"/>
      <w:lvlText w:val="o"/>
      <w:lvlJc w:val="left"/>
      <w:pPr>
        <w:tabs>
          <w:tab w:val="num" w:pos="2880"/>
        </w:tabs>
        <w:ind w:left="2880" w:hanging="360"/>
      </w:pPr>
      <w:rPr>
        <w:rFonts w:ascii="Courier New" w:hAnsi="Courier New" w:cs="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Wingding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Wingding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27680BCE"/>
    <w:multiLevelType w:val="hybridMultilevel"/>
    <w:tmpl w:val="0CEA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6E2E7E"/>
    <w:multiLevelType w:val="singleLevel"/>
    <w:tmpl w:val="5DD401CA"/>
    <w:lvl w:ilvl="0">
      <w:start w:val="1"/>
      <w:numFmt w:val="bullet"/>
      <w:lvlText w:val=""/>
      <w:lvlJc w:val="left"/>
      <w:pPr>
        <w:tabs>
          <w:tab w:val="num" w:pos="360"/>
        </w:tabs>
        <w:ind w:left="360" w:hanging="360"/>
      </w:pPr>
      <w:rPr>
        <w:rFonts w:ascii="Symbol" w:hAnsi="Symbol" w:hint="default"/>
        <w:sz w:val="16"/>
      </w:rPr>
    </w:lvl>
  </w:abstractNum>
  <w:abstractNum w:abstractNumId="11">
    <w:nsid w:val="2F5E6090"/>
    <w:multiLevelType w:val="hybridMultilevel"/>
    <w:tmpl w:val="787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E862CC"/>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3">
    <w:nsid w:val="34636F77"/>
    <w:multiLevelType w:val="hybridMultilevel"/>
    <w:tmpl w:val="EC122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12276F0"/>
    <w:multiLevelType w:val="hybridMultilevel"/>
    <w:tmpl w:val="766EFE68"/>
    <w:lvl w:ilvl="0" w:tplc="57D4C5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B87F8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7">
    <w:nsid w:val="554742D7"/>
    <w:multiLevelType w:val="hybridMultilevel"/>
    <w:tmpl w:val="0ED8B7F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nsid w:val="5A192ECD"/>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9">
    <w:nsid w:val="5A2337CD"/>
    <w:multiLevelType w:val="hybridMultilevel"/>
    <w:tmpl w:val="E548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A14C00"/>
    <w:multiLevelType w:val="hybridMultilevel"/>
    <w:tmpl w:val="1C069290"/>
    <w:lvl w:ilvl="0" w:tplc="C160F1F4">
      <w:start w:val="1"/>
      <w:numFmt w:val="bullet"/>
      <w:pStyle w:val="Heading3"/>
      <w:lvlText w:val=""/>
      <w:lvlJc w:val="left"/>
      <w:pPr>
        <w:tabs>
          <w:tab w:val="num" w:pos="284"/>
        </w:tabs>
        <w:ind w:left="284" w:hanging="284"/>
      </w:pPr>
      <w:rPr>
        <w:rFonts w:ascii="Symbol" w:hAnsi="Symbol" w:hint="default"/>
        <w:sz w:val="20"/>
      </w:rPr>
    </w:lvl>
    <w:lvl w:ilvl="1" w:tplc="E8AEF58C">
      <w:start w:val="1"/>
      <w:numFmt w:val="bullet"/>
      <w:pStyle w:val="List2"/>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3A624D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22">
    <w:nsid w:val="656523B6"/>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23">
    <w:nsid w:val="6FFF6257"/>
    <w:multiLevelType w:val="hybridMultilevel"/>
    <w:tmpl w:val="F244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B00085"/>
    <w:multiLevelType w:val="singleLevel"/>
    <w:tmpl w:val="789C8126"/>
    <w:lvl w:ilvl="0">
      <w:start w:val="1"/>
      <w:numFmt w:val="decimal"/>
      <w:lvlText w:val="%1."/>
      <w:lvlJc w:val="left"/>
      <w:pPr>
        <w:tabs>
          <w:tab w:val="num" w:pos="360"/>
        </w:tabs>
        <w:ind w:left="360" w:hanging="360"/>
      </w:pPr>
    </w:lvl>
  </w:abstractNum>
  <w:abstractNum w:abstractNumId="25">
    <w:nsid w:val="7731652B"/>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num w:numId="1">
    <w:abstractNumId w:val="8"/>
  </w:num>
  <w:num w:numId="2">
    <w:abstractNumId w:val="10"/>
  </w:num>
  <w:num w:numId="3">
    <w:abstractNumId w:val="21"/>
  </w:num>
  <w:num w:numId="4">
    <w:abstractNumId w:val="4"/>
  </w:num>
  <w:num w:numId="5">
    <w:abstractNumId w:val="18"/>
  </w:num>
  <w:num w:numId="6">
    <w:abstractNumId w:val="12"/>
  </w:num>
  <w:num w:numId="7">
    <w:abstractNumId w:val="25"/>
  </w:num>
  <w:num w:numId="8">
    <w:abstractNumId w:val="22"/>
  </w:num>
  <w:num w:numId="9">
    <w:abstractNumId w:val="16"/>
  </w:num>
  <w:num w:numId="10">
    <w:abstractNumId w:val="14"/>
  </w:num>
  <w:num w:numId="11">
    <w:abstractNumId w:val="24"/>
  </w:num>
  <w:num w:numId="12">
    <w:abstractNumId w:val="1"/>
  </w:num>
  <w:num w:numId="13">
    <w:abstractNumId w:val="24"/>
  </w:num>
  <w:num w:numId="14">
    <w:abstractNumId w:val="20"/>
  </w:num>
  <w:num w:numId="15">
    <w:abstractNumId w:val="3"/>
  </w:num>
  <w:num w:numId="16">
    <w:abstractNumId w:val="5"/>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17"/>
  </w:num>
  <w:num w:numId="40">
    <w:abstractNumId w:val="6"/>
  </w:num>
  <w:num w:numId="41">
    <w:abstractNumId w:val="9"/>
  </w:num>
  <w:num w:numId="42">
    <w:abstractNumId w:val="20"/>
  </w:num>
  <w:num w:numId="43">
    <w:abstractNumId w:val="0"/>
  </w:num>
  <w:num w:numId="44">
    <w:abstractNumId w:val="15"/>
  </w:num>
  <w:num w:numId="45">
    <w:abstractNumId w:val="7"/>
  </w:num>
  <w:num w:numId="46">
    <w:abstractNumId w:val="13"/>
  </w:num>
  <w:num w:numId="47">
    <w:abstractNumId w:val="23"/>
  </w:num>
  <w:num w:numId="48">
    <w:abstractNumId w:val="2"/>
  </w:num>
  <w:num w:numId="49">
    <w:abstractNumId w:val="1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15"/>
    <w:rsid w:val="00007693"/>
    <w:rsid w:val="00011E06"/>
    <w:rsid w:val="00020327"/>
    <w:rsid w:val="00023C95"/>
    <w:rsid w:val="00035AEB"/>
    <w:rsid w:val="00051CF3"/>
    <w:rsid w:val="00054E0A"/>
    <w:rsid w:val="00055F40"/>
    <w:rsid w:val="00063365"/>
    <w:rsid w:val="000704D9"/>
    <w:rsid w:val="00073608"/>
    <w:rsid w:val="00081824"/>
    <w:rsid w:val="000856CA"/>
    <w:rsid w:val="00095995"/>
    <w:rsid w:val="000A66E7"/>
    <w:rsid w:val="000C430C"/>
    <w:rsid w:val="000C4CD6"/>
    <w:rsid w:val="000F550B"/>
    <w:rsid w:val="00104029"/>
    <w:rsid w:val="001068D8"/>
    <w:rsid w:val="00111E10"/>
    <w:rsid w:val="00133270"/>
    <w:rsid w:val="00142B0A"/>
    <w:rsid w:val="0014525E"/>
    <w:rsid w:val="00165FF9"/>
    <w:rsid w:val="001A21C9"/>
    <w:rsid w:val="001B06DB"/>
    <w:rsid w:val="001C782E"/>
    <w:rsid w:val="001E53D0"/>
    <w:rsid w:val="001F1FC1"/>
    <w:rsid w:val="00214220"/>
    <w:rsid w:val="00217E7B"/>
    <w:rsid w:val="00232B2A"/>
    <w:rsid w:val="00261580"/>
    <w:rsid w:val="00261ED3"/>
    <w:rsid w:val="00276641"/>
    <w:rsid w:val="002822CF"/>
    <w:rsid w:val="002A2C96"/>
    <w:rsid w:val="002B3EB1"/>
    <w:rsid w:val="002C196C"/>
    <w:rsid w:val="002D1F07"/>
    <w:rsid w:val="002E4A8F"/>
    <w:rsid w:val="00301495"/>
    <w:rsid w:val="00304325"/>
    <w:rsid w:val="0030757B"/>
    <w:rsid w:val="0032627D"/>
    <w:rsid w:val="00334ED0"/>
    <w:rsid w:val="00337D32"/>
    <w:rsid w:val="00342C6B"/>
    <w:rsid w:val="00354750"/>
    <w:rsid w:val="00385E61"/>
    <w:rsid w:val="003B6F98"/>
    <w:rsid w:val="003C28E0"/>
    <w:rsid w:val="003D3452"/>
    <w:rsid w:val="003F13D4"/>
    <w:rsid w:val="0040268F"/>
    <w:rsid w:val="004202FB"/>
    <w:rsid w:val="00420A5B"/>
    <w:rsid w:val="00431FE1"/>
    <w:rsid w:val="00437138"/>
    <w:rsid w:val="0047628B"/>
    <w:rsid w:val="004937F8"/>
    <w:rsid w:val="00493840"/>
    <w:rsid w:val="00494740"/>
    <w:rsid w:val="0049725E"/>
    <w:rsid w:val="004A651A"/>
    <w:rsid w:val="004B3676"/>
    <w:rsid w:val="004D2140"/>
    <w:rsid w:val="004D6EA0"/>
    <w:rsid w:val="004F2A9F"/>
    <w:rsid w:val="004F56D4"/>
    <w:rsid w:val="005005EA"/>
    <w:rsid w:val="005225B4"/>
    <w:rsid w:val="00543625"/>
    <w:rsid w:val="00543994"/>
    <w:rsid w:val="005658BB"/>
    <w:rsid w:val="00572C76"/>
    <w:rsid w:val="00582796"/>
    <w:rsid w:val="00584896"/>
    <w:rsid w:val="005B08DE"/>
    <w:rsid w:val="005C12D1"/>
    <w:rsid w:val="005C3387"/>
    <w:rsid w:val="005C7405"/>
    <w:rsid w:val="005D21F9"/>
    <w:rsid w:val="005D26C8"/>
    <w:rsid w:val="005D5D08"/>
    <w:rsid w:val="005F24B5"/>
    <w:rsid w:val="006109DA"/>
    <w:rsid w:val="0063708B"/>
    <w:rsid w:val="00646305"/>
    <w:rsid w:val="00647B8F"/>
    <w:rsid w:val="0065532A"/>
    <w:rsid w:val="00662D4D"/>
    <w:rsid w:val="006805BC"/>
    <w:rsid w:val="00684895"/>
    <w:rsid w:val="006932D8"/>
    <w:rsid w:val="00694464"/>
    <w:rsid w:val="006C3B6C"/>
    <w:rsid w:val="006D740D"/>
    <w:rsid w:val="006E3361"/>
    <w:rsid w:val="006E75C1"/>
    <w:rsid w:val="00711237"/>
    <w:rsid w:val="0072782F"/>
    <w:rsid w:val="007458F4"/>
    <w:rsid w:val="0075100B"/>
    <w:rsid w:val="00783EF3"/>
    <w:rsid w:val="007A0E5D"/>
    <w:rsid w:val="007A4DF1"/>
    <w:rsid w:val="007B140F"/>
    <w:rsid w:val="007B4012"/>
    <w:rsid w:val="007C1C7C"/>
    <w:rsid w:val="007C31E9"/>
    <w:rsid w:val="007D670B"/>
    <w:rsid w:val="007E43B6"/>
    <w:rsid w:val="008122AB"/>
    <w:rsid w:val="00814A45"/>
    <w:rsid w:val="00821867"/>
    <w:rsid w:val="00822295"/>
    <w:rsid w:val="00823BB7"/>
    <w:rsid w:val="008310E5"/>
    <w:rsid w:val="00831227"/>
    <w:rsid w:val="00840CA5"/>
    <w:rsid w:val="00851EEF"/>
    <w:rsid w:val="00855A78"/>
    <w:rsid w:val="00867C8E"/>
    <w:rsid w:val="0087020F"/>
    <w:rsid w:val="00876BCF"/>
    <w:rsid w:val="0088336B"/>
    <w:rsid w:val="008A1D1B"/>
    <w:rsid w:val="008A2503"/>
    <w:rsid w:val="008B2FB6"/>
    <w:rsid w:val="008B7741"/>
    <w:rsid w:val="008C4DB0"/>
    <w:rsid w:val="008E5673"/>
    <w:rsid w:val="008F4A5F"/>
    <w:rsid w:val="008F7745"/>
    <w:rsid w:val="009079FA"/>
    <w:rsid w:val="00924A0E"/>
    <w:rsid w:val="009274C0"/>
    <w:rsid w:val="00935CDE"/>
    <w:rsid w:val="009461BA"/>
    <w:rsid w:val="00963270"/>
    <w:rsid w:val="009711F8"/>
    <w:rsid w:val="00996878"/>
    <w:rsid w:val="009A2D3F"/>
    <w:rsid w:val="009D08AF"/>
    <w:rsid w:val="009D251A"/>
    <w:rsid w:val="009D6F11"/>
    <w:rsid w:val="009D705C"/>
    <w:rsid w:val="009F0914"/>
    <w:rsid w:val="009F2E4C"/>
    <w:rsid w:val="00A009DB"/>
    <w:rsid w:val="00A05982"/>
    <w:rsid w:val="00A06807"/>
    <w:rsid w:val="00A068E6"/>
    <w:rsid w:val="00A11194"/>
    <w:rsid w:val="00A27817"/>
    <w:rsid w:val="00A52D75"/>
    <w:rsid w:val="00A642C3"/>
    <w:rsid w:val="00A7587E"/>
    <w:rsid w:val="00AC1043"/>
    <w:rsid w:val="00AC418E"/>
    <w:rsid w:val="00AD1558"/>
    <w:rsid w:val="00AD32D4"/>
    <w:rsid w:val="00AF45B5"/>
    <w:rsid w:val="00B11652"/>
    <w:rsid w:val="00B13591"/>
    <w:rsid w:val="00B24E17"/>
    <w:rsid w:val="00B53E86"/>
    <w:rsid w:val="00B54B64"/>
    <w:rsid w:val="00B60940"/>
    <w:rsid w:val="00B732D5"/>
    <w:rsid w:val="00B7336A"/>
    <w:rsid w:val="00B74D9F"/>
    <w:rsid w:val="00B75180"/>
    <w:rsid w:val="00B92DAC"/>
    <w:rsid w:val="00BB1CA4"/>
    <w:rsid w:val="00BB669E"/>
    <w:rsid w:val="00BC596D"/>
    <w:rsid w:val="00BD5529"/>
    <w:rsid w:val="00BE15BA"/>
    <w:rsid w:val="00BE302E"/>
    <w:rsid w:val="00BE3A87"/>
    <w:rsid w:val="00BE6FD3"/>
    <w:rsid w:val="00BF51BC"/>
    <w:rsid w:val="00BF70B3"/>
    <w:rsid w:val="00C0606D"/>
    <w:rsid w:val="00C10F3F"/>
    <w:rsid w:val="00C457D9"/>
    <w:rsid w:val="00C50339"/>
    <w:rsid w:val="00C537D1"/>
    <w:rsid w:val="00C613C5"/>
    <w:rsid w:val="00C77483"/>
    <w:rsid w:val="00C93B2C"/>
    <w:rsid w:val="00CC60C3"/>
    <w:rsid w:val="00CD1808"/>
    <w:rsid w:val="00CD5C7E"/>
    <w:rsid w:val="00CD64B8"/>
    <w:rsid w:val="00CE4372"/>
    <w:rsid w:val="00D26ECE"/>
    <w:rsid w:val="00DA0679"/>
    <w:rsid w:val="00DC5939"/>
    <w:rsid w:val="00DD563A"/>
    <w:rsid w:val="00DE6878"/>
    <w:rsid w:val="00E07AF5"/>
    <w:rsid w:val="00E16E3F"/>
    <w:rsid w:val="00E206FB"/>
    <w:rsid w:val="00E37292"/>
    <w:rsid w:val="00E41963"/>
    <w:rsid w:val="00E61D20"/>
    <w:rsid w:val="00E670BD"/>
    <w:rsid w:val="00E744E0"/>
    <w:rsid w:val="00E85EC7"/>
    <w:rsid w:val="00ED3674"/>
    <w:rsid w:val="00ED49CF"/>
    <w:rsid w:val="00EE13CE"/>
    <w:rsid w:val="00EE21EB"/>
    <w:rsid w:val="00EF3073"/>
    <w:rsid w:val="00F21B15"/>
    <w:rsid w:val="00F27102"/>
    <w:rsid w:val="00F34289"/>
    <w:rsid w:val="00F349BD"/>
    <w:rsid w:val="00F7264E"/>
    <w:rsid w:val="00F7675D"/>
    <w:rsid w:val="00F92B15"/>
    <w:rsid w:val="00FC1717"/>
    <w:rsid w:val="00FC2777"/>
    <w:rsid w:val="00FC3844"/>
    <w:rsid w:val="00FC62CF"/>
    <w:rsid w:val="00FD28E4"/>
    <w:rsid w:val="00FE3326"/>
    <w:rsid w:val="00FE7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D1B"/>
    <w:pPr>
      <w:spacing w:before="120"/>
      <w:jc w:val="both"/>
    </w:pPr>
    <w:rPr>
      <w:rFonts w:ascii="Times" w:hAnsi="Times"/>
      <w:sz w:val="24"/>
    </w:rPr>
  </w:style>
  <w:style w:type="paragraph" w:styleId="Heading1">
    <w:name w:val="heading 1"/>
    <w:basedOn w:val="Normal"/>
    <w:qFormat/>
    <w:rsid w:val="00684895"/>
    <w:pPr>
      <w:keepNext/>
      <w:keepLines/>
      <w:spacing w:before="240"/>
      <w:jc w:val="center"/>
      <w:outlineLvl w:val="0"/>
    </w:pPr>
    <w:rPr>
      <w:rFonts w:ascii="Arial" w:hAnsi="Arial"/>
      <w:b/>
      <w:bCs/>
      <w:caps/>
    </w:rPr>
  </w:style>
  <w:style w:type="paragraph" w:styleId="Heading2">
    <w:name w:val="heading 2"/>
    <w:basedOn w:val="Normal"/>
    <w:qFormat/>
    <w:rsid w:val="00684895"/>
    <w:pPr>
      <w:spacing w:before="360"/>
      <w:outlineLvl w:val="1"/>
    </w:pPr>
    <w:rPr>
      <w:rFonts w:ascii="Arial" w:hAnsi="Arial"/>
      <w:b/>
      <w:bCs/>
    </w:rPr>
  </w:style>
  <w:style w:type="paragraph" w:styleId="Heading3">
    <w:name w:val="heading 3"/>
    <w:basedOn w:val="Normal"/>
    <w:qFormat/>
    <w:rsid w:val="004937F8"/>
    <w:pPr>
      <w:numPr>
        <w:numId w:val="14"/>
      </w:numPr>
      <w:spacing w:before="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13D4"/>
    <w:rPr>
      <w:sz w:val="16"/>
    </w:rPr>
  </w:style>
  <w:style w:type="paragraph" w:customStyle="1" w:styleId="ActTitle">
    <w:name w:val="Act Title"/>
    <w:basedOn w:val="Normal"/>
    <w:rsid w:val="004937F8"/>
    <w:pPr>
      <w:jc w:val="center"/>
    </w:pPr>
    <w:rPr>
      <w:rFonts w:ascii="Arial" w:hAnsi="Arial"/>
      <w:i/>
      <w:iCs/>
    </w:rPr>
  </w:style>
  <w:style w:type="paragraph" w:styleId="BalloonText">
    <w:name w:val="Balloon Text"/>
    <w:basedOn w:val="Normal"/>
    <w:semiHidden/>
    <w:rsid w:val="00B732D5"/>
    <w:rPr>
      <w:rFonts w:ascii="Tahoma" w:hAnsi="Tahoma" w:cs="Tahoma"/>
      <w:sz w:val="16"/>
      <w:szCs w:val="16"/>
    </w:rPr>
  </w:style>
  <w:style w:type="character" w:styleId="CommentReference">
    <w:name w:val="annotation reference"/>
    <w:semiHidden/>
    <w:rsid w:val="00104029"/>
    <w:rPr>
      <w:sz w:val="16"/>
      <w:szCs w:val="16"/>
    </w:rPr>
  </w:style>
  <w:style w:type="paragraph" w:styleId="CommentText">
    <w:name w:val="annotation text"/>
    <w:basedOn w:val="Normal"/>
    <w:semiHidden/>
    <w:rsid w:val="00104029"/>
  </w:style>
  <w:style w:type="paragraph" w:styleId="CommentSubject">
    <w:name w:val="annotation subject"/>
    <w:basedOn w:val="CommentText"/>
    <w:next w:val="CommentText"/>
    <w:semiHidden/>
    <w:rsid w:val="00104029"/>
    <w:rPr>
      <w:b/>
      <w:bCs/>
    </w:rPr>
  </w:style>
  <w:style w:type="paragraph" w:customStyle="1" w:styleId="Instructions">
    <w:name w:val="Instructions"/>
    <w:basedOn w:val="Normal"/>
    <w:link w:val="InstructionsChar"/>
    <w:rsid w:val="00020327"/>
    <w:rPr>
      <w:rFonts w:ascii="Arial" w:hAnsi="Arial" w:cs="Arial"/>
      <w:i/>
      <w:color w:val="0000FF"/>
      <w:sz w:val="20"/>
    </w:rPr>
  </w:style>
  <w:style w:type="character" w:customStyle="1" w:styleId="InstructionsChar">
    <w:name w:val="Instructions Char"/>
    <w:link w:val="Instructions"/>
    <w:rsid w:val="00020327"/>
    <w:rPr>
      <w:rFonts w:ascii="Arial" w:hAnsi="Arial" w:cs="Arial"/>
      <w:i/>
      <w:color w:val="0000FF"/>
      <w:lang w:val="en-AU" w:eastAsia="en-AU" w:bidi="ar-SA"/>
    </w:rPr>
  </w:style>
  <w:style w:type="paragraph" w:customStyle="1" w:styleId="StrategicAssessmentText">
    <w:name w:val="Strategic Assessment Text"/>
    <w:basedOn w:val="Normal"/>
    <w:rsid w:val="008A1D1B"/>
    <w:pPr>
      <w:ind w:left="284"/>
    </w:pPr>
  </w:style>
  <w:style w:type="paragraph" w:styleId="Header">
    <w:name w:val="header"/>
    <w:basedOn w:val="Normal"/>
    <w:rsid w:val="00FE71B0"/>
    <w:pPr>
      <w:tabs>
        <w:tab w:val="center" w:pos="4153"/>
        <w:tab w:val="right" w:pos="8306"/>
      </w:tabs>
    </w:pPr>
  </w:style>
  <w:style w:type="character" w:styleId="Hyperlink">
    <w:name w:val="Hyperlink"/>
    <w:rsid w:val="00FE71B0"/>
    <w:rPr>
      <w:color w:val="0000FF"/>
      <w:u w:val="single"/>
    </w:rPr>
  </w:style>
  <w:style w:type="paragraph" w:styleId="List2">
    <w:name w:val="List 2"/>
    <w:basedOn w:val="Normal"/>
    <w:rsid w:val="00823BB7"/>
    <w:pPr>
      <w:numPr>
        <w:ilvl w:val="1"/>
        <w:numId w:val="14"/>
      </w:numPr>
    </w:pPr>
  </w:style>
  <w:style w:type="character" w:styleId="FollowedHyperlink">
    <w:name w:val="FollowedHyperlink"/>
    <w:rsid w:val="00035A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D1B"/>
    <w:pPr>
      <w:spacing w:before="120"/>
      <w:jc w:val="both"/>
    </w:pPr>
    <w:rPr>
      <w:rFonts w:ascii="Times" w:hAnsi="Times"/>
      <w:sz w:val="24"/>
    </w:rPr>
  </w:style>
  <w:style w:type="paragraph" w:styleId="Heading1">
    <w:name w:val="heading 1"/>
    <w:basedOn w:val="Normal"/>
    <w:qFormat/>
    <w:rsid w:val="00684895"/>
    <w:pPr>
      <w:keepNext/>
      <w:keepLines/>
      <w:spacing w:before="240"/>
      <w:jc w:val="center"/>
      <w:outlineLvl w:val="0"/>
    </w:pPr>
    <w:rPr>
      <w:rFonts w:ascii="Arial" w:hAnsi="Arial"/>
      <w:b/>
      <w:bCs/>
      <w:caps/>
    </w:rPr>
  </w:style>
  <w:style w:type="paragraph" w:styleId="Heading2">
    <w:name w:val="heading 2"/>
    <w:basedOn w:val="Normal"/>
    <w:qFormat/>
    <w:rsid w:val="00684895"/>
    <w:pPr>
      <w:spacing w:before="360"/>
      <w:outlineLvl w:val="1"/>
    </w:pPr>
    <w:rPr>
      <w:rFonts w:ascii="Arial" w:hAnsi="Arial"/>
      <w:b/>
      <w:bCs/>
    </w:rPr>
  </w:style>
  <w:style w:type="paragraph" w:styleId="Heading3">
    <w:name w:val="heading 3"/>
    <w:basedOn w:val="Normal"/>
    <w:qFormat/>
    <w:rsid w:val="004937F8"/>
    <w:pPr>
      <w:numPr>
        <w:numId w:val="14"/>
      </w:numPr>
      <w:spacing w:before="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13D4"/>
    <w:rPr>
      <w:sz w:val="16"/>
    </w:rPr>
  </w:style>
  <w:style w:type="paragraph" w:customStyle="1" w:styleId="ActTitle">
    <w:name w:val="Act Title"/>
    <w:basedOn w:val="Normal"/>
    <w:rsid w:val="004937F8"/>
    <w:pPr>
      <w:jc w:val="center"/>
    </w:pPr>
    <w:rPr>
      <w:rFonts w:ascii="Arial" w:hAnsi="Arial"/>
      <w:i/>
      <w:iCs/>
    </w:rPr>
  </w:style>
  <w:style w:type="paragraph" w:styleId="BalloonText">
    <w:name w:val="Balloon Text"/>
    <w:basedOn w:val="Normal"/>
    <w:semiHidden/>
    <w:rsid w:val="00B732D5"/>
    <w:rPr>
      <w:rFonts w:ascii="Tahoma" w:hAnsi="Tahoma" w:cs="Tahoma"/>
      <w:sz w:val="16"/>
      <w:szCs w:val="16"/>
    </w:rPr>
  </w:style>
  <w:style w:type="character" w:styleId="CommentReference">
    <w:name w:val="annotation reference"/>
    <w:semiHidden/>
    <w:rsid w:val="00104029"/>
    <w:rPr>
      <w:sz w:val="16"/>
      <w:szCs w:val="16"/>
    </w:rPr>
  </w:style>
  <w:style w:type="paragraph" w:styleId="CommentText">
    <w:name w:val="annotation text"/>
    <w:basedOn w:val="Normal"/>
    <w:semiHidden/>
    <w:rsid w:val="00104029"/>
  </w:style>
  <w:style w:type="paragraph" w:styleId="CommentSubject">
    <w:name w:val="annotation subject"/>
    <w:basedOn w:val="CommentText"/>
    <w:next w:val="CommentText"/>
    <w:semiHidden/>
    <w:rsid w:val="00104029"/>
    <w:rPr>
      <w:b/>
      <w:bCs/>
    </w:rPr>
  </w:style>
  <w:style w:type="paragraph" w:customStyle="1" w:styleId="Instructions">
    <w:name w:val="Instructions"/>
    <w:basedOn w:val="Normal"/>
    <w:link w:val="InstructionsChar"/>
    <w:rsid w:val="00020327"/>
    <w:rPr>
      <w:rFonts w:ascii="Arial" w:hAnsi="Arial" w:cs="Arial"/>
      <w:i/>
      <w:color w:val="0000FF"/>
      <w:sz w:val="20"/>
    </w:rPr>
  </w:style>
  <w:style w:type="character" w:customStyle="1" w:styleId="InstructionsChar">
    <w:name w:val="Instructions Char"/>
    <w:link w:val="Instructions"/>
    <w:rsid w:val="00020327"/>
    <w:rPr>
      <w:rFonts w:ascii="Arial" w:hAnsi="Arial" w:cs="Arial"/>
      <w:i/>
      <w:color w:val="0000FF"/>
      <w:lang w:val="en-AU" w:eastAsia="en-AU" w:bidi="ar-SA"/>
    </w:rPr>
  </w:style>
  <w:style w:type="paragraph" w:customStyle="1" w:styleId="StrategicAssessmentText">
    <w:name w:val="Strategic Assessment Text"/>
    <w:basedOn w:val="Normal"/>
    <w:rsid w:val="008A1D1B"/>
    <w:pPr>
      <w:ind w:left="284"/>
    </w:pPr>
  </w:style>
  <w:style w:type="paragraph" w:styleId="Header">
    <w:name w:val="header"/>
    <w:basedOn w:val="Normal"/>
    <w:rsid w:val="00FE71B0"/>
    <w:pPr>
      <w:tabs>
        <w:tab w:val="center" w:pos="4153"/>
        <w:tab w:val="right" w:pos="8306"/>
      </w:tabs>
    </w:pPr>
  </w:style>
  <w:style w:type="character" w:styleId="Hyperlink">
    <w:name w:val="Hyperlink"/>
    <w:rsid w:val="00FE71B0"/>
    <w:rPr>
      <w:color w:val="0000FF"/>
      <w:u w:val="single"/>
    </w:rPr>
  </w:style>
  <w:style w:type="paragraph" w:styleId="List2">
    <w:name w:val="List 2"/>
    <w:basedOn w:val="Normal"/>
    <w:rsid w:val="00823BB7"/>
    <w:pPr>
      <w:numPr>
        <w:ilvl w:val="1"/>
        <w:numId w:val="14"/>
      </w:numPr>
    </w:pPr>
  </w:style>
  <w:style w:type="character" w:styleId="FollowedHyperlink">
    <w:name w:val="FollowedHyperlink"/>
    <w:rsid w:val="00035A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tpli.vic.gov.au/publicinspection" TargetMode="External"/><Relationship Id="rId4" Type="http://schemas.openxmlformats.org/officeDocument/2006/relationships/settings" Target="settings.xml"/><Relationship Id="rId9" Type="http://schemas.openxmlformats.org/officeDocument/2006/relationships/hyperlink" Target="http://www.southgippsland.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Lgpmis\PSMR%20Planning%20System%20Reform\Amendment%20model\Amendments%20online\Std%20docs%20&amp;%20templates\Explanato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Explanatory report</Template>
  <TotalTime>0</TotalTime>
  <Pages>3</Pages>
  <Words>1824</Words>
  <Characters>10402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DOI</Company>
  <LinksUpToDate>false</LinksUpToDate>
  <CharactersWithSpaces>12202</CharactersWithSpaces>
  <SharedDoc>false</SharedDoc>
  <HLinks>
    <vt:vector size="18" baseType="variant">
      <vt:variant>
        <vt:i4>1835018</vt:i4>
      </vt:variant>
      <vt:variant>
        <vt:i4>6</vt:i4>
      </vt:variant>
      <vt:variant>
        <vt:i4>0</vt:i4>
      </vt:variant>
      <vt:variant>
        <vt:i4>5</vt:i4>
      </vt:variant>
      <vt:variant>
        <vt:lpwstr>http://www.dtpli.vic.gov.au/publicinspection</vt:lpwstr>
      </vt:variant>
      <vt:variant>
        <vt:lpwstr/>
      </vt:variant>
      <vt:variant>
        <vt:i4>4653058</vt:i4>
      </vt:variant>
      <vt:variant>
        <vt:i4>3</vt:i4>
      </vt:variant>
      <vt:variant>
        <vt:i4>0</vt:i4>
      </vt:variant>
      <vt:variant>
        <vt:i4>5</vt:i4>
      </vt:variant>
      <vt:variant>
        <vt:lpwstr>http://www.dpcd.vic.gov.au/__data/assets/pdf_file/0016/41371/46-Strategic-Assessment-Guidelines_October-2013.pdf</vt:lpwstr>
      </vt:variant>
      <vt:variant>
        <vt:lpwstr/>
      </vt:variant>
      <vt:variant>
        <vt:i4>5046394</vt:i4>
      </vt:variant>
      <vt:variant>
        <vt:i4>0</vt:i4>
      </vt:variant>
      <vt:variant>
        <vt:i4>0</vt:i4>
      </vt:variant>
      <vt:variant>
        <vt:i4>5</vt:i4>
      </vt:variant>
      <vt:variant>
        <vt:lpwstr>http://www.dpcd.vic.gov.au/__data/assets/word_doc/0004/147523/v1_T133I_Use_of_standard_terms_for_the_Explanatory_report_and_application_forms-1-May-2013.doc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creator>de Saram</dc:creator>
  <cp:lastModifiedBy>Melissa Moseley</cp:lastModifiedBy>
  <cp:revision>2</cp:revision>
  <cp:lastPrinted>2013-03-27T04:23:00Z</cp:lastPrinted>
  <dcterms:created xsi:type="dcterms:W3CDTF">2015-08-13T23:52:00Z</dcterms:created>
  <dcterms:modified xsi:type="dcterms:W3CDTF">2015-08-13T23:52:00Z</dcterms:modified>
</cp:coreProperties>
</file>