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9B260" w14:textId="59058C92" w:rsidR="00A15C2E" w:rsidRPr="005E7AEC" w:rsidRDefault="00A15C2E" w:rsidP="00455E90">
      <w:pPr>
        <w:pStyle w:val="Quote"/>
      </w:pPr>
      <w:r w:rsidRPr="005E7AEC">
        <w:t>Planning and Environment Act 1987</w:t>
      </w:r>
    </w:p>
    <w:p w14:paraId="127CFD92" w14:textId="7B85B582" w:rsidR="00A15C2E" w:rsidRPr="00A15C2E" w:rsidRDefault="00D51B42" w:rsidP="00A15C2E">
      <w:pPr>
        <w:pStyle w:val="Heading1"/>
      </w:pPr>
      <w:r w:rsidRPr="00D51B42">
        <w:t>South Gippsland</w:t>
      </w:r>
      <w:r w:rsidR="00A15C2E" w:rsidRPr="00D51B42">
        <w:t xml:space="preserve"> </w:t>
      </w:r>
      <w:r w:rsidR="00A15C2E" w:rsidRPr="00A15C2E">
        <w:t>Planning Scheme</w:t>
      </w:r>
    </w:p>
    <w:p w14:paraId="601884B5" w14:textId="27B0AF4C" w:rsidR="00A15C2E" w:rsidRPr="00CC24D6" w:rsidRDefault="00A15C2E" w:rsidP="00A15C2E">
      <w:pPr>
        <w:pStyle w:val="Heading1"/>
      </w:pPr>
      <w:r w:rsidRPr="00A15C2E">
        <w:t>Amendment C</w:t>
      </w:r>
      <w:r w:rsidR="00D51B42" w:rsidRPr="00CC24D6">
        <w:t>131</w:t>
      </w:r>
      <w:r w:rsidR="00842E40">
        <w:t>sgip</w:t>
      </w:r>
    </w:p>
    <w:p w14:paraId="27A7F636" w14:textId="1531EBC5" w:rsidR="00A15C2E" w:rsidRPr="00A15C2E" w:rsidRDefault="00A15C2E" w:rsidP="00A15C2E">
      <w:pPr>
        <w:pStyle w:val="Heading1"/>
      </w:pPr>
      <w:r w:rsidRPr="00A15C2E">
        <w:t xml:space="preserve">Planning Permit Application </w:t>
      </w:r>
      <w:r w:rsidR="00D51B42" w:rsidRPr="00CC24D6">
        <w:t>CP</w:t>
      </w:r>
      <w:r w:rsidR="00934C50">
        <w:t>2024/49</w:t>
      </w:r>
    </w:p>
    <w:p w14:paraId="719D4304" w14:textId="77777777" w:rsidR="00A15C2E" w:rsidRPr="00A15C2E" w:rsidRDefault="00A15C2E" w:rsidP="00A15C2E">
      <w:pPr>
        <w:pStyle w:val="Heading1"/>
      </w:pPr>
      <w:r w:rsidRPr="00A15C2E">
        <w:t>Explanatory Report</w:t>
      </w:r>
    </w:p>
    <w:p w14:paraId="3920E2A5" w14:textId="77777777" w:rsidR="00A15C2E" w:rsidRPr="00A15C2E" w:rsidRDefault="00A15C2E" w:rsidP="00224E35">
      <w:pPr>
        <w:pStyle w:val="Heading2"/>
      </w:pPr>
      <w:r w:rsidRPr="00A15C2E">
        <w:t>Overview</w:t>
      </w:r>
    </w:p>
    <w:p w14:paraId="75960CD2" w14:textId="64D55572" w:rsidR="002F733E" w:rsidRDefault="00AD4A6C" w:rsidP="002F733E">
      <w:r w:rsidRPr="0083444A">
        <w:t>Amendment C131</w:t>
      </w:r>
      <w:r w:rsidR="00842E40">
        <w:t>sgip proposes to</w:t>
      </w:r>
      <w:r w:rsidRPr="0083444A">
        <w:t xml:space="preserve"> rezone </w:t>
      </w:r>
      <w:r w:rsidR="00787868" w:rsidRPr="0083444A">
        <w:t xml:space="preserve">108 &amp; 110 Parr Street Leongatha </w:t>
      </w:r>
      <w:r w:rsidR="00DA54B8" w:rsidRPr="0083444A">
        <w:t>(</w:t>
      </w:r>
      <w:r w:rsidRPr="0083444A">
        <w:t>22.</w:t>
      </w:r>
      <w:r w:rsidR="003171B5">
        <w:t>46</w:t>
      </w:r>
      <w:r w:rsidRPr="0083444A">
        <w:t>ha</w:t>
      </w:r>
      <w:r w:rsidR="00DA54B8" w:rsidRPr="0083444A">
        <w:t>)</w:t>
      </w:r>
      <w:r w:rsidRPr="0083444A">
        <w:t xml:space="preserve"> </w:t>
      </w:r>
      <w:r w:rsidR="00DA54B8" w:rsidRPr="0083444A">
        <w:t>from</w:t>
      </w:r>
      <w:r w:rsidRPr="0083444A">
        <w:t xml:space="preserve"> Farming Zone to General Residential Zone </w:t>
      </w:r>
      <w:r w:rsidR="00BC4D9C">
        <w:t xml:space="preserve">Schedule </w:t>
      </w:r>
      <w:r w:rsidRPr="0083444A">
        <w:t>1</w:t>
      </w:r>
      <w:r w:rsidR="002B5720">
        <w:t>,</w:t>
      </w:r>
      <w:r w:rsidR="00DA54B8" w:rsidRPr="0083444A">
        <w:t xml:space="preserve"> remove the Environmental Significance Overlay Schedule</w:t>
      </w:r>
      <w:r w:rsidR="002B5720">
        <w:t>s</w:t>
      </w:r>
      <w:r w:rsidR="00DA54B8" w:rsidRPr="0083444A">
        <w:t xml:space="preserve"> 2 </w:t>
      </w:r>
      <w:r w:rsidR="0058395C">
        <w:t xml:space="preserve">and Erosion Management Overlay Schedule 1 </w:t>
      </w:r>
      <w:r w:rsidR="00BC4D9C">
        <w:t xml:space="preserve">from the land </w:t>
      </w:r>
      <w:r w:rsidR="002B5720">
        <w:t>and amend the Land Subject to Inundation Overlay</w:t>
      </w:r>
      <w:r w:rsidR="00AF555E">
        <w:t xml:space="preserve"> to reflect the most up to date flood modelling</w:t>
      </w:r>
      <w:r w:rsidR="008C3004">
        <w:t xml:space="preserve"> on the site</w:t>
      </w:r>
      <w:r w:rsidR="002B5720">
        <w:t xml:space="preserve">. </w:t>
      </w:r>
    </w:p>
    <w:p w14:paraId="7E6D055E" w14:textId="77777777" w:rsidR="002F733E" w:rsidRPr="007B5E05" w:rsidRDefault="002F733E" w:rsidP="002F733E">
      <w:pPr>
        <w:rPr>
          <w:color w:val="44546A" w:themeColor="text2"/>
          <w:highlight w:val="lightGray"/>
        </w:rPr>
      </w:pPr>
      <w:r>
        <w:t xml:space="preserve">The planning permit application seeks approval for the staged residential subdivision of the land into approximately 171 residential lots, including vegetation removal and the creation and removal of easements </w:t>
      </w:r>
    </w:p>
    <w:p w14:paraId="28B77C3D" w14:textId="63679160" w:rsidR="00AD4A6C" w:rsidRPr="0083444A" w:rsidRDefault="00AD4A6C" w:rsidP="00A15C2E"/>
    <w:p w14:paraId="326550AC" w14:textId="67C490C2" w:rsidR="0083444A" w:rsidRDefault="0083444A" w:rsidP="0083444A">
      <w:pPr>
        <w:jc w:val="center"/>
        <w:rPr>
          <w:color w:val="44546A" w:themeColor="text2"/>
          <w:highlight w:val="lightGray"/>
        </w:rPr>
      </w:pPr>
      <w:r w:rsidRPr="0083444A">
        <w:rPr>
          <w:noProof/>
          <w:color w:val="44546A" w:themeColor="text2"/>
        </w:rPr>
        <w:drawing>
          <wp:inline distT="0" distB="0" distL="0" distR="0" wp14:anchorId="7AF25962" wp14:editId="04029935">
            <wp:extent cx="4193680" cy="319985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8861" cy="3203806"/>
                    </a:xfrm>
                    <a:prstGeom prst="rect">
                      <a:avLst/>
                    </a:prstGeom>
                  </pic:spPr>
                </pic:pic>
              </a:graphicData>
            </a:graphic>
          </wp:inline>
        </w:drawing>
      </w:r>
    </w:p>
    <w:p w14:paraId="335987B6" w14:textId="7680E530" w:rsidR="00687150" w:rsidRPr="00654894" w:rsidRDefault="00687150" w:rsidP="00654894">
      <w:pPr>
        <w:rPr>
          <w:i/>
          <w:iCs/>
          <w:color w:val="44546A" w:themeColor="text2"/>
          <w:highlight w:val="lightGray"/>
        </w:rPr>
      </w:pPr>
      <w:r>
        <w:rPr>
          <w:i/>
          <w:iCs/>
          <w:color w:val="44546A" w:themeColor="text2"/>
          <w:highlight w:val="lightGray"/>
        </w:rPr>
        <w:t>Figure 1: Subject land.</w:t>
      </w:r>
    </w:p>
    <w:p w14:paraId="02C0047C" w14:textId="77777777" w:rsidR="00DB1521" w:rsidRDefault="00DB1521" w:rsidP="003A4991">
      <w:pPr>
        <w:pStyle w:val="Heading3"/>
      </w:pPr>
    </w:p>
    <w:p w14:paraId="2ECB63B3" w14:textId="77777777" w:rsidR="00DB1521" w:rsidRDefault="00DB1521" w:rsidP="003A4991">
      <w:pPr>
        <w:pStyle w:val="Heading3"/>
      </w:pPr>
    </w:p>
    <w:p w14:paraId="4A462F3A" w14:textId="53E261B6" w:rsidR="00A15C2E" w:rsidRPr="00A15C2E" w:rsidRDefault="00A15C2E" w:rsidP="003A4991">
      <w:pPr>
        <w:pStyle w:val="Heading3"/>
      </w:pPr>
      <w:r w:rsidRPr="00A15C2E">
        <w:t>Where you may inspect this amendment</w:t>
      </w:r>
    </w:p>
    <w:p w14:paraId="018E98F8" w14:textId="651DCF51" w:rsidR="00A15C2E" w:rsidRPr="0083444A" w:rsidRDefault="00A15C2E" w:rsidP="00A15C2E">
      <w:r>
        <w:t xml:space="preserve">The amendment can be inspected free of charge at the </w:t>
      </w:r>
      <w:r w:rsidR="0083444A" w:rsidRPr="0083444A">
        <w:t>South Gippsland Shire Council’s</w:t>
      </w:r>
      <w:r w:rsidRPr="0083444A">
        <w:t xml:space="preserve"> </w:t>
      </w:r>
      <w:r>
        <w:t xml:space="preserve">website at </w:t>
      </w:r>
      <w:r w:rsidR="0083444A">
        <w:t>www.</w:t>
      </w:r>
      <w:r w:rsidR="0083444A" w:rsidRPr="0083444A">
        <w:t xml:space="preserve">southgippsland.vic.gov.au </w:t>
      </w:r>
      <w:r w:rsidR="00E94868">
        <w:t xml:space="preserve">and in hard copy during Customer Service office hours at South Gippsland Shire Council </w:t>
      </w:r>
      <w:r w:rsidR="00805775">
        <w:t xml:space="preserve">located at </w:t>
      </w:r>
      <w:r w:rsidR="00E94868">
        <w:t>9 Smith Street</w:t>
      </w:r>
      <w:r w:rsidR="00805775">
        <w:t>,</w:t>
      </w:r>
      <w:r w:rsidR="00E94868">
        <w:t xml:space="preserve"> Leongatha. </w:t>
      </w:r>
    </w:p>
    <w:p w14:paraId="1D2C3EC8" w14:textId="77777777" w:rsidR="00A15C2E" w:rsidRDefault="00A15C2E" w:rsidP="00A15C2E">
      <w:r>
        <w:t xml:space="preserve">The amendment can also be inspected free of charge at the Department of Transport and Planning website at </w:t>
      </w:r>
      <w:hyperlink r:id="rId14" w:history="1">
        <w:r w:rsidR="00B5427B" w:rsidRPr="000C0726">
          <w:rPr>
            <w:rStyle w:val="Hyperlink"/>
          </w:rPr>
          <w:t>http://www.planning.vic.gov.au/public-inspection</w:t>
        </w:r>
      </w:hyperlink>
      <w:r w:rsidR="00B5427B">
        <w:t xml:space="preserve"> </w:t>
      </w:r>
      <w:r>
        <w:t>or by contacting the office on 1800 789 386 to arrange a time to view the amendment documentation.</w:t>
      </w:r>
    </w:p>
    <w:p w14:paraId="265D3FD5" w14:textId="77777777" w:rsidR="00A15C2E" w:rsidRDefault="00A15C2E" w:rsidP="003A4991">
      <w:pPr>
        <w:pStyle w:val="Heading3"/>
      </w:pPr>
      <w:r>
        <w:t>Submissions</w:t>
      </w:r>
    </w:p>
    <w:p w14:paraId="1695666D" w14:textId="368C2B48" w:rsidR="00546F39" w:rsidRDefault="00A15C2E" w:rsidP="00A15C2E">
      <w:r>
        <w:t xml:space="preserve">Any person may make a submission to the planning authority about </w:t>
      </w:r>
      <w:r w:rsidR="00E94868">
        <w:t>A</w:t>
      </w:r>
      <w:r>
        <w:t xml:space="preserve">mendment </w:t>
      </w:r>
      <w:r w:rsidR="00B33A0B">
        <w:t>C</w:t>
      </w:r>
      <w:r w:rsidR="0083444A" w:rsidRPr="00D80FE1">
        <w:t>131</w:t>
      </w:r>
      <w:r w:rsidR="00514564">
        <w:t>sgip</w:t>
      </w:r>
      <w:r w:rsidR="0083444A" w:rsidRPr="00D80FE1">
        <w:t xml:space="preserve"> and planning permit CP 2024</w:t>
      </w:r>
      <w:r w:rsidR="00292E85">
        <w:t>/24</w:t>
      </w:r>
      <w:r w:rsidR="00514564">
        <w:t>.</w:t>
      </w:r>
      <w:r w:rsidRPr="00D80FE1">
        <w:t xml:space="preserve"> </w:t>
      </w:r>
      <w:r>
        <w:t xml:space="preserve">Submissions about the amendment </w:t>
      </w:r>
      <w:r w:rsidRPr="00D80FE1">
        <w:t xml:space="preserve">and planning permit </w:t>
      </w:r>
      <w:r>
        <w:t xml:space="preserve">must be received by </w:t>
      </w:r>
      <w:r w:rsidR="00292E85" w:rsidRPr="003171B5">
        <w:rPr>
          <w:b/>
          <w:bCs/>
        </w:rPr>
        <w:t>Friday 13 December 2024</w:t>
      </w:r>
      <w:r w:rsidR="00292E85">
        <w:t>.</w:t>
      </w:r>
    </w:p>
    <w:p w14:paraId="7C8715F2" w14:textId="606A1AF6" w:rsidR="00A15C2E" w:rsidRDefault="00A15C2E" w:rsidP="00A15C2E">
      <w:r>
        <w:t xml:space="preserve">A submission must be sent to: </w:t>
      </w:r>
      <w:r w:rsidR="0083444A" w:rsidRPr="00D80FE1">
        <w:t>South Gippsland Shire Council</w:t>
      </w:r>
      <w:r w:rsidR="00514564">
        <w:t>,</w:t>
      </w:r>
      <w:r w:rsidR="0083444A" w:rsidRPr="00D80FE1">
        <w:t xml:space="preserve"> Private Bag 4 Leongatha</w:t>
      </w:r>
      <w:r w:rsidR="00514564">
        <w:t>,</w:t>
      </w:r>
      <w:r w:rsidR="0083444A" w:rsidRPr="00D80FE1">
        <w:t xml:space="preserve"> 3953 or </w:t>
      </w:r>
      <w:r w:rsidR="00B25B24">
        <w:t xml:space="preserve">by </w:t>
      </w:r>
      <w:r w:rsidR="0083444A" w:rsidRPr="00D80FE1">
        <w:t xml:space="preserve">email </w:t>
      </w:r>
      <w:r w:rsidR="00B25B24">
        <w:t xml:space="preserve">at </w:t>
      </w:r>
      <w:hyperlink r:id="rId15" w:history="1">
        <w:r w:rsidR="00B25B24" w:rsidRPr="00F5710E">
          <w:rPr>
            <w:rStyle w:val="Hyperlink"/>
          </w:rPr>
          <w:t>council@southgippsland.vic.gov.au</w:t>
        </w:r>
      </w:hyperlink>
      <w:r w:rsidR="00D80FE1" w:rsidRPr="00D80FE1">
        <w:t xml:space="preserve"> . Email submissions must include reference to Amendment C131</w:t>
      </w:r>
      <w:r w:rsidR="00B25B24">
        <w:t>sgip</w:t>
      </w:r>
      <w:r w:rsidR="00D80FE1" w:rsidRPr="00D80FE1">
        <w:t xml:space="preserve"> in the email title. </w:t>
      </w:r>
    </w:p>
    <w:p w14:paraId="6561E783" w14:textId="77777777" w:rsidR="00A15C2E" w:rsidRDefault="00A15C2E" w:rsidP="003A4991">
      <w:pPr>
        <w:pStyle w:val="Heading3"/>
      </w:pPr>
      <w:r>
        <w:t>Panel hearing dates</w:t>
      </w:r>
    </w:p>
    <w:p w14:paraId="060AB3CE" w14:textId="77777777" w:rsidR="00A15C2E" w:rsidRDefault="00A15C2E" w:rsidP="00A15C2E">
      <w:r>
        <w:t>In accordance with clause 4(2) of Ministerial Direction No.15 the following panel hearing dates have been set for this amendment:</w:t>
      </w:r>
    </w:p>
    <w:p w14:paraId="63A095B7" w14:textId="6287A0D4" w:rsidR="00A15C2E" w:rsidRDefault="00546F39" w:rsidP="00546F39">
      <w:pPr>
        <w:pStyle w:val="Bulletlist"/>
      </w:pPr>
      <w:r>
        <w:t>D</w:t>
      </w:r>
      <w:r w:rsidR="00A15C2E">
        <w:t>irections hearing:</w:t>
      </w:r>
      <w:r w:rsidR="00A15C2E" w:rsidRPr="00292E85">
        <w:rPr>
          <w:color w:val="44546A" w:themeColor="text2"/>
        </w:rPr>
        <w:t xml:space="preserve"> </w:t>
      </w:r>
      <w:r w:rsidR="00292E85" w:rsidRPr="00292E85">
        <w:rPr>
          <w:color w:val="44546A" w:themeColor="text2"/>
        </w:rPr>
        <w:t>Week commencing 3 March 2025</w:t>
      </w:r>
      <w:r w:rsidR="00A15C2E" w:rsidRPr="00292E85">
        <w:rPr>
          <w:color w:val="44546A" w:themeColor="text2"/>
        </w:rPr>
        <w:t xml:space="preserve"> </w:t>
      </w:r>
    </w:p>
    <w:p w14:paraId="6876E39F" w14:textId="16A7BCBB" w:rsidR="00E93AF6" w:rsidRPr="00E93AF6" w:rsidRDefault="00546F39" w:rsidP="00E93AF6">
      <w:pPr>
        <w:pStyle w:val="Bulletlist"/>
      </w:pPr>
      <w:r w:rsidRPr="00E93AF6">
        <w:t>P</w:t>
      </w:r>
      <w:r w:rsidR="00A15C2E" w:rsidRPr="00E93AF6">
        <w:t>anel hearing:</w:t>
      </w:r>
      <w:r w:rsidR="00292E85">
        <w:rPr>
          <w:color w:val="44546A" w:themeColor="text2"/>
        </w:rPr>
        <w:t xml:space="preserve"> Week commencing 7 April 2025.</w:t>
      </w:r>
    </w:p>
    <w:p w14:paraId="659921EF" w14:textId="77777777" w:rsidR="00A15C2E" w:rsidRDefault="00A15C2E" w:rsidP="00224E35">
      <w:pPr>
        <w:pStyle w:val="Heading2"/>
      </w:pPr>
      <w:r>
        <w:t>Details of the amendment</w:t>
      </w:r>
    </w:p>
    <w:p w14:paraId="3EB7B06E" w14:textId="77777777" w:rsidR="00A15C2E" w:rsidRDefault="00A15C2E" w:rsidP="003A4991">
      <w:pPr>
        <w:pStyle w:val="Heading3"/>
      </w:pPr>
      <w:r>
        <w:t>Who is the planning authority?</w:t>
      </w:r>
    </w:p>
    <w:p w14:paraId="27F8474D" w14:textId="21312E31" w:rsidR="00E92E98" w:rsidRDefault="00A15C2E" w:rsidP="00A15C2E">
      <w:r>
        <w:t xml:space="preserve">This amendment has been prepared by the </w:t>
      </w:r>
      <w:r w:rsidR="005A0265" w:rsidRPr="005A0265">
        <w:t>South Gippsland Shire Council</w:t>
      </w:r>
      <w:r w:rsidRPr="005A0265">
        <w:t xml:space="preserve">, </w:t>
      </w:r>
      <w:r w:rsidR="005A0265" w:rsidRPr="005A0265">
        <w:t xml:space="preserve">which </w:t>
      </w:r>
      <w:r>
        <w:t>is the planning authority for this amendment.</w:t>
      </w:r>
    </w:p>
    <w:p w14:paraId="7AD4188E" w14:textId="352F0E26" w:rsidR="00A15C2E" w:rsidRDefault="00A15C2E" w:rsidP="00A15C2E">
      <w:r>
        <w:t xml:space="preserve">The amendment has been made at the request of </w:t>
      </w:r>
      <w:r w:rsidR="005A0265" w:rsidRPr="005A0265">
        <w:t>108 Parr Street Pty Ltd</w:t>
      </w:r>
      <w:r w:rsidR="00067E40">
        <w:t xml:space="preserve"> &amp; 110 Parr Street Pty Ltd</w:t>
      </w:r>
      <w:r w:rsidR="005A0265" w:rsidRPr="005A0265">
        <w:t xml:space="preserve"> which </w:t>
      </w:r>
      <w:r w:rsidR="00067E40">
        <w:t>are the companies</w:t>
      </w:r>
      <w:r w:rsidR="005A0265" w:rsidRPr="005A0265">
        <w:t xml:space="preserve"> proposing the development of the land. </w:t>
      </w:r>
    </w:p>
    <w:p w14:paraId="35BEF9A5" w14:textId="77777777" w:rsidR="00A15C2E" w:rsidRDefault="00A15C2E" w:rsidP="003A4991">
      <w:pPr>
        <w:pStyle w:val="Heading3"/>
      </w:pPr>
      <w:r>
        <w:t>Land affected by the amendment</w:t>
      </w:r>
    </w:p>
    <w:p w14:paraId="7A7C04BB" w14:textId="61E5D441" w:rsidR="00A15C2E" w:rsidRPr="00067E40" w:rsidRDefault="00A15C2E" w:rsidP="00A15C2E">
      <w:r>
        <w:t xml:space="preserve">The amendment applies to </w:t>
      </w:r>
      <w:r w:rsidR="00756B18" w:rsidRPr="00067E40">
        <w:t>108 Parr Street Leongatha (</w:t>
      </w:r>
      <w:r w:rsidR="00BB4D3C">
        <w:t xml:space="preserve">formally described </w:t>
      </w:r>
      <w:r w:rsidR="000C79EF">
        <w:t>as</w:t>
      </w:r>
      <w:r w:rsidR="00756B18" w:rsidRPr="00067E40">
        <w:t xml:space="preserve"> Lot F PS448885</w:t>
      </w:r>
      <w:r w:rsidR="000C79EF">
        <w:t xml:space="preserve"> and approximately 5.74 hectares in area</w:t>
      </w:r>
      <w:r w:rsidR="00756B18" w:rsidRPr="00067E40">
        <w:t>) and 110 Parr Street Leongatha (</w:t>
      </w:r>
      <w:r w:rsidR="000C79EF">
        <w:t>formally described as</w:t>
      </w:r>
      <w:r w:rsidR="00756B18" w:rsidRPr="00067E40">
        <w:t xml:space="preserve"> Lot 1 TP615766</w:t>
      </w:r>
      <w:r w:rsidR="000C79EF">
        <w:t xml:space="preserve"> and approximately 16.72 hectares in area</w:t>
      </w:r>
      <w:r w:rsidR="00756B18" w:rsidRPr="00067E40">
        <w:t xml:space="preserve">). The amendment also </w:t>
      </w:r>
      <w:r w:rsidR="00BE2B61">
        <w:t>applies to</w:t>
      </w:r>
      <w:r w:rsidR="00B33A0B" w:rsidRPr="00067E40">
        <w:t xml:space="preserve"> the </w:t>
      </w:r>
      <w:proofErr w:type="gramStart"/>
      <w:r w:rsidR="00B33A0B" w:rsidRPr="00067E40">
        <w:t>Parr Street road</w:t>
      </w:r>
      <w:proofErr w:type="gramEnd"/>
      <w:r w:rsidR="00B33A0B" w:rsidRPr="00067E40">
        <w:t xml:space="preserve"> reserve adjoining the subject </w:t>
      </w:r>
      <w:r w:rsidR="00B33A0B" w:rsidRPr="00067E40">
        <w:lastRenderedPageBreak/>
        <w:t>land</w:t>
      </w:r>
      <w:r w:rsidR="00BE2B61">
        <w:t xml:space="preserve"> to the north</w:t>
      </w:r>
      <w:r w:rsidR="00B33A0B" w:rsidRPr="00067E40">
        <w:t xml:space="preserve">. </w:t>
      </w:r>
    </w:p>
    <w:p w14:paraId="5E329B0E" w14:textId="2ED68432" w:rsidR="00A15C2E" w:rsidRDefault="00A15C2E" w:rsidP="00A15C2E">
      <w:r>
        <w:t xml:space="preserve">The amendment is a combined planning permit application and planning scheme amendment under section 96A of the </w:t>
      </w:r>
      <w:r w:rsidR="00E93AF6" w:rsidRPr="00E93AF6">
        <w:rPr>
          <w:i/>
          <w:iCs/>
        </w:rPr>
        <w:t>Planning and Environment Act 1987</w:t>
      </w:r>
      <w:r w:rsidR="00E93AF6">
        <w:t xml:space="preserve"> (the Act)</w:t>
      </w:r>
      <w:r>
        <w:t>.</w:t>
      </w:r>
    </w:p>
    <w:p w14:paraId="56735182" w14:textId="3C69AC3F" w:rsidR="00A15C2E" w:rsidRDefault="00A15C2E" w:rsidP="00A15C2E">
      <w:r>
        <w:t xml:space="preserve">The planning permit application </w:t>
      </w:r>
      <w:r w:rsidR="000E0680">
        <w:t xml:space="preserve">also </w:t>
      </w:r>
      <w:r>
        <w:t xml:space="preserve">applies to </w:t>
      </w:r>
      <w:r w:rsidR="00756B18" w:rsidRPr="00756B18">
        <w:t>108 &amp; 110 Parr Street</w:t>
      </w:r>
      <w:r w:rsidR="000E0680">
        <w:t>,</w:t>
      </w:r>
      <w:r w:rsidR="00756B18" w:rsidRPr="00756B18">
        <w:t xml:space="preserve"> Leongatha </w:t>
      </w:r>
      <w:r w:rsidR="000E0680">
        <w:t>(</w:t>
      </w:r>
      <w:r w:rsidR="00756B18">
        <w:t xml:space="preserve">Lot F PS448885 &amp; Lot 1 TP615766 </w:t>
      </w:r>
      <w:r w:rsidR="000E0680">
        <w:t>respectively)</w:t>
      </w:r>
      <w:r w:rsidR="00756B18">
        <w:t xml:space="preserve">. </w:t>
      </w:r>
    </w:p>
    <w:p w14:paraId="210AD7DF" w14:textId="77777777" w:rsidR="00A15C2E" w:rsidRDefault="00A15C2E" w:rsidP="003A4991">
      <w:pPr>
        <w:pStyle w:val="Heading3"/>
      </w:pPr>
      <w:r>
        <w:t>What the amendment does</w:t>
      </w:r>
    </w:p>
    <w:p w14:paraId="4108E3A7" w14:textId="687E9D47" w:rsidR="005A5C9B" w:rsidRPr="00C940F7" w:rsidRDefault="00A15C2E" w:rsidP="005A5C9B">
      <w:pPr>
        <w:rPr>
          <w:rFonts w:cs="Arial"/>
          <w:sz w:val="20"/>
          <w:lang w:val="en-GB"/>
        </w:rPr>
      </w:pPr>
      <w:r>
        <w:t xml:space="preserve">The amendment </w:t>
      </w:r>
      <w:r w:rsidR="005A5C9B" w:rsidRPr="005A5C9B">
        <w:t xml:space="preserve">rezones the </w:t>
      </w:r>
      <w:r w:rsidR="00410432">
        <w:t xml:space="preserve">subject </w:t>
      </w:r>
      <w:r w:rsidR="005A5C9B" w:rsidRPr="005A5C9B">
        <w:t xml:space="preserve">land to allow for future residential development, consistent with the outcomes envisaged within the </w:t>
      </w:r>
      <w:r w:rsidR="005A5C9B" w:rsidRPr="00654894">
        <w:rPr>
          <w:i/>
          <w:iCs/>
        </w:rPr>
        <w:t>Leongatha Structure Plan</w:t>
      </w:r>
      <w:r w:rsidR="00860E75">
        <w:t xml:space="preserve"> (2008)</w:t>
      </w:r>
      <w:r w:rsidR="005A5C9B" w:rsidRPr="005A5C9B">
        <w:t xml:space="preserve"> and the </w:t>
      </w:r>
      <w:r w:rsidR="005A5C9B" w:rsidRPr="00654894">
        <w:rPr>
          <w:i/>
          <w:iCs/>
        </w:rPr>
        <w:t>Southern Leongatha Outline Development Plan</w:t>
      </w:r>
      <w:r w:rsidR="003471AD">
        <w:t xml:space="preserve"> (2013)</w:t>
      </w:r>
      <w:r w:rsidR="005A5C9B" w:rsidRPr="005A5C9B">
        <w:t>.</w:t>
      </w:r>
    </w:p>
    <w:p w14:paraId="4D1FC089" w14:textId="77777777" w:rsidR="005A5C9B" w:rsidRPr="005A5C9B" w:rsidRDefault="00A15C2E" w:rsidP="005A5C9B">
      <w:r>
        <w:t xml:space="preserve">The amendment </w:t>
      </w:r>
      <w:r w:rsidR="005A5C9B" w:rsidRPr="005A5C9B">
        <w:t>makes the following changes to the South Gippsland Planning Scheme:</w:t>
      </w:r>
    </w:p>
    <w:p w14:paraId="28107E17" w14:textId="7ECF494F" w:rsidR="005A5C9B" w:rsidRPr="005A5C9B" w:rsidRDefault="005A5C9B" w:rsidP="005A5C9B">
      <w:pPr>
        <w:widowControl/>
        <w:numPr>
          <w:ilvl w:val="0"/>
          <w:numId w:val="22"/>
        </w:numPr>
        <w:tabs>
          <w:tab w:val="left" w:pos="284"/>
        </w:tabs>
        <w:autoSpaceDE/>
        <w:autoSpaceDN/>
        <w:spacing w:after="0" w:line="240" w:lineRule="auto"/>
        <w:ind w:left="284" w:hanging="284"/>
        <w:jc w:val="both"/>
      </w:pPr>
      <w:r w:rsidRPr="005A5C9B">
        <w:t xml:space="preserve">Rezones the land from Farming Zone (FZ) </w:t>
      </w:r>
      <w:r w:rsidR="0061464A">
        <w:t xml:space="preserve">to </w:t>
      </w:r>
      <w:r w:rsidRPr="005A5C9B">
        <w:t xml:space="preserve">the </w:t>
      </w:r>
      <w:r>
        <w:t xml:space="preserve">General Residential Zone </w:t>
      </w:r>
      <w:r w:rsidR="006F5E2C">
        <w:t xml:space="preserve">Schedule </w:t>
      </w:r>
      <w:r>
        <w:t>1</w:t>
      </w:r>
      <w:r w:rsidRPr="005A5C9B">
        <w:t xml:space="preserve"> (</w:t>
      </w:r>
      <w:r>
        <w:t>GRZ1</w:t>
      </w:r>
      <w:r w:rsidRPr="005A5C9B">
        <w:t>)</w:t>
      </w:r>
      <w:r w:rsidR="006F5E2C">
        <w:t>.</w:t>
      </w:r>
    </w:p>
    <w:p w14:paraId="1BC1F4D3" w14:textId="5E8AD58C" w:rsidR="005A5C9B" w:rsidRDefault="005A5C9B" w:rsidP="005A5C9B">
      <w:pPr>
        <w:widowControl/>
        <w:numPr>
          <w:ilvl w:val="0"/>
          <w:numId w:val="22"/>
        </w:numPr>
        <w:tabs>
          <w:tab w:val="left" w:pos="284"/>
        </w:tabs>
        <w:autoSpaceDE/>
        <w:autoSpaceDN/>
        <w:spacing w:after="0" w:line="240" w:lineRule="auto"/>
        <w:ind w:left="284" w:hanging="284"/>
        <w:jc w:val="both"/>
      </w:pPr>
      <w:r w:rsidRPr="005A5C9B">
        <w:t xml:space="preserve">Removes the Environmental Significance Overlay Schedule 2 (ESO2) from the </w:t>
      </w:r>
      <w:r w:rsidR="001A5F3F">
        <w:t>land</w:t>
      </w:r>
      <w:r w:rsidR="006F5E2C">
        <w:t>.</w:t>
      </w:r>
    </w:p>
    <w:p w14:paraId="172BE7D7" w14:textId="1D9023A7" w:rsidR="0070249B" w:rsidRPr="005A5C9B" w:rsidRDefault="0070249B" w:rsidP="005A5C9B">
      <w:pPr>
        <w:widowControl/>
        <w:numPr>
          <w:ilvl w:val="0"/>
          <w:numId w:val="22"/>
        </w:numPr>
        <w:tabs>
          <w:tab w:val="left" w:pos="284"/>
        </w:tabs>
        <w:autoSpaceDE/>
        <w:autoSpaceDN/>
        <w:spacing w:after="0" w:line="240" w:lineRule="auto"/>
        <w:ind w:left="284" w:hanging="284"/>
        <w:jc w:val="both"/>
      </w:pPr>
      <w:r>
        <w:t xml:space="preserve">Removes the Erosion Management Overlay </w:t>
      </w:r>
      <w:r w:rsidR="00651D65">
        <w:t xml:space="preserve">Schedule 1 (EMO1) from the land. </w:t>
      </w:r>
    </w:p>
    <w:p w14:paraId="7ADA0C87" w14:textId="63C965D7" w:rsidR="005A5C9B" w:rsidRPr="005A5C9B" w:rsidRDefault="005A5C9B" w:rsidP="005A5C9B">
      <w:pPr>
        <w:widowControl/>
        <w:numPr>
          <w:ilvl w:val="0"/>
          <w:numId w:val="22"/>
        </w:numPr>
        <w:tabs>
          <w:tab w:val="left" w:pos="284"/>
        </w:tabs>
        <w:autoSpaceDE/>
        <w:autoSpaceDN/>
        <w:spacing w:after="0" w:line="240" w:lineRule="auto"/>
        <w:ind w:left="284" w:hanging="284"/>
        <w:jc w:val="both"/>
      </w:pPr>
      <w:r w:rsidRPr="005A5C9B">
        <w:t xml:space="preserve">Amends the Land Subject to Inundation Overlay </w:t>
      </w:r>
      <w:r w:rsidR="007A137A">
        <w:t xml:space="preserve">(LSIO) </w:t>
      </w:r>
      <w:r w:rsidRPr="005A5C9B">
        <w:t>to correctly reflect the 1</w:t>
      </w:r>
      <w:r w:rsidR="00812454">
        <w:t>% Annual Exceedance Probability</w:t>
      </w:r>
      <w:r w:rsidRPr="005A5C9B">
        <w:t xml:space="preserve"> </w:t>
      </w:r>
      <w:r w:rsidR="00812454">
        <w:t>(1 in 100 year)</w:t>
      </w:r>
      <w:r w:rsidRPr="005A5C9B">
        <w:t xml:space="preserve"> flood extent</w:t>
      </w:r>
      <w:r w:rsidR="001A5F3F">
        <w:t xml:space="preserve"> based on updated flood data</w:t>
      </w:r>
      <w:r w:rsidRPr="005A5C9B">
        <w:t>.</w:t>
      </w:r>
    </w:p>
    <w:p w14:paraId="6AF938DA" w14:textId="4054E51D" w:rsidR="00A15C2E" w:rsidRPr="007B5E05" w:rsidRDefault="00A15C2E" w:rsidP="005A5C9B">
      <w:pPr>
        <w:rPr>
          <w:color w:val="44546A" w:themeColor="text2"/>
          <w:highlight w:val="lightGray"/>
        </w:rPr>
      </w:pPr>
      <w:r>
        <w:t>The planning permit application seeks approval for</w:t>
      </w:r>
      <w:r w:rsidR="005A5C9B">
        <w:t xml:space="preserve"> the staged residential subdivision of the land into approximately 17</w:t>
      </w:r>
      <w:r w:rsidR="000B0F8B">
        <w:t>1 residential</w:t>
      </w:r>
      <w:r w:rsidR="005A5C9B">
        <w:t xml:space="preserve"> lots</w:t>
      </w:r>
      <w:r w:rsidR="00654894">
        <w:t xml:space="preserve">, including vegetation removal and </w:t>
      </w:r>
      <w:r w:rsidR="002F733E">
        <w:t xml:space="preserve">the creation and removal of </w:t>
      </w:r>
      <w:r w:rsidR="00654894">
        <w:t>easemen</w:t>
      </w:r>
      <w:r w:rsidR="002F733E">
        <w:t>ts</w:t>
      </w:r>
      <w:r w:rsidR="00C016CC">
        <w:t>.</w:t>
      </w:r>
    </w:p>
    <w:p w14:paraId="7606E86C" w14:textId="1712C065" w:rsidR="00A15C2E" w:rsidRDefault="00A15C2E" w:rsidP="00A15C2E">
      <w:r>
        <w:t xml:space="preserve">The planning permit </w:t>
      </w:r>
      <w:r w:rsidR="005A5C9B">
        <w:t xml:space="preserve">(draft) </w:t>
      </w:r>
      <w:r>
        <w:t xml:space="preserve">is </w:t>
      </w:r>
      <w:r w:rsidR="00C016CC">
        <w:t>exhibited</w:t>
      </w:r>
      <w:r>
        <w:t xml:space="preserve"> as a separate document to this Explanatory Report.</w:t>
      </w:r>
    </w:p>
    <w:p w14:paraId="020F605D" w14:textId="77777777" w:rsidR="00A15C2E" w:rsidRPr="00224E35" w:rsidRDefault="00A15C2E" w:rsidP="00224E35">
      <w:pPr>
        <w:pStyle w:val="Heading2"/>
      </w:pPr>
      <w:r w:rsidRPr="00224E35">
        <w:t>Strategic assessment of the amendment</w:t>
      </w:r>
    </w:p>
    <w:p w14:paraId="7F027D5B" w14:textId="77777777" w:rsidR="00A15C2E" w:rsidRPr="003A4991" w:rsidRDefault="00A15C2E" w:rsidP="003A4991">
      <w:pPr>
        <w:pStyle w:val="Heading3"/>
      </w:pPr>
      <w:r w:rsidRPr="003A4991">
        <w:t>Why is the amendment required?</w:t>
      </w:r>
    </w:p>
    <w:p w14:paraId="1E641D2F" w14:textId="4FBD6B3D" w:rsidR="00B76D56" w:rsidRDefault="00B76D56"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The amendment is required to provide more land for residential development in Leongatha which is currently experiencing an under supply of greenfield residential land.</w:t>
      </w:r>
      <w:r w:rsidR="00795010">
        <w:rPr>
          <w:rFonts w:eastAsia="Century Gothic" w:cs="Century Gothic"/>
          <w:color w:val="auto"/>
          <w:sz w:val="24"/>
          <w:szCs w:val="22"/>
          <w:lang w:val="en-AU" w:bidi="en-AU"/>
        </w:rPr>
        <w:t xml:space="preserve"> In 2022 it was estimated the township had approximately seven to nine years residential land supply (Ethos Urban Pty Ltd 2022). </w:t>
      </w:r>
    </w:p>
    <w:p w14:paraId="2695FB27" w14:textId="1D1970DD" w:rsidR="00AA55AA" w:rsidRPr="00812454" w:rsidRDefault="00692518" w:rsidP="00B76D56">
      <w:pPr>
        <w:pStyle w:val="Bullet1"/>
        <w:numPr>
          <w:ilvl w:val="0"/>
          <w:numId w:val="0"/>
        </w:numPr>
        <w:jc w:val="both"/>
        <w:rPr>
          <w:rFonts w:eastAsia="Century Gothic" w:cs="Century Gothic"/>
          <w:color w:val="auto"/>
          <w:sz w:val="24"/>
          <w:szCs w:val="22"/>
          <w:u w:val="single"/>
          <w:lang w:val="en-AU" w:bidi="en-AU"/>
        </w:rPr>
      </w:pPr>
      <w:r w:rsidRPr="00812454">
        <w:rPr>
          <w:rFonts w:eastAsia="Century Gothic" w:cs="Century Gothic"/>
          <w:color w:val="auto"/>
          <w:sz w:val="24"/>
          <w:szCs w:val="22"/>
          <w:u w:val="single"/>
          <w:lang w:val="en-AU" w:bidi="en-AU"/>
        </w:rPr>
        <w:t>Clause 11.01-1L-02 Leongatha</w:t>
      </w:r>
    </w:p>
    <w:p w14:paraId="26FEDBCB" w14:textId="459980E5" w:rsidR="00B76D56" w:rsidRDefault="00651D65"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By rezoning the land from FZ to GRZ1 t</w:t>
      </w:r>
      <w:r w:rsidR="00B76D56" w:rsidRPr="00B76D56">
        <w:rPr>
          <w:rFonts w:eastAsia="Century Gothic" w:cs="Century Gothic"/>
          <w:color w:val="auto"/>
          <w:sz w:val="24"/>
          <w:szCs w:val="22"/>
          <w:lang w:val="en-AU" w:bidi="en-AU"/>
        </w:rPr>
        <w:t xml:space="preserve">he amendment will allow for urban growth and residential land development consistent with the strategic direction as set out in the </w:t>
      </w:r>
      <w:r w:rsidR="00B76D56">
        <w:rPr>
          <w:rFonts w:eastAsia="Century Gothic" w:cs="Century Gothic"/>
          <w:color w:val="auto"/>
          <w:sz w:val="24"/>
          <w:szCs w:val="22"/>
          <w:lang w:val="en-AU" w:bidi="en-AU"/>
        </w:rPr>
        <w:t xml:space="preserve">Leongatha Framework Plan at </w:t>
      </w:r>
      <w:r w:rsidR="001A5F3F">
        <w:rPr>
          <w:rFonts w:eastAsia="Century Gothic" w:cs="Century Gothic"/>
          <w:color w:val="auto"/>
          <w:sz w:val="24"/>
          <w:szCs w:val="22"/>
          <w:lang w:val="en-AU" w:bidi="en-AU"/>
        </w:rPr>
        <w:t>C</w:t>
      </w:r>
      <w:r w:rsidR="00B76D56">
        <w:rPr>
          <w:rFonts w:eastAsia="Century Gothic" w:cs="Century Gothic"/>
          <w:color w:val="auto"/>
          <w:sz w:val="24"/>
          <w:szCs w:val="22"/>
          <w:lang w:val="en-AU" w:bidi="en-AU"/>
        </w:rPr>
        <w:t>lause 11.01-1L-02</w:t>
      </w:r>
      <w:r w:rsidR="00D17B71">
        <w:rPr>
          <w:rFonts w:eastAsia="Century Gothic" w:cs="Century Gothic"/>
          <w:color w:val="auto"/>
          <w:sz w:val="24"/>
          <w:szCs w:val="22"/>
          <w:lang w:val="en-AU" w:bidi="en-AU"/>
        </w:rPr>
        <w:t xml:space="preserve"> of the South Gippsland Planning Scheme</w:t>
      </w:r>
      <w:r w:rsidR="00B76D56" w:rsidRPr="00B76D56">
        <w:rPr>
          <w:rFonts w:eastAsia="Century Gothic" w:cs="Century Gothic"/>
          <w:color w:val="auto"/>
          <w:sz w:val="24"/>
          <w:szCs w:val="22"/>
          <w:lang w:val="en-AU" w:bidi="en-AU"/>
        </w:rPr>
        <w:t>.</w:t>
      </w:r>
      <w:r w:rsidR="00B76D56">
        <w:rPr>
          <w:rFonts w:eastAsia="Century Gothic" w:cs="Century Gothic"/>
          <w:color w:val="auto"/>
          <w:sz w:val="24"/>
          <w:szCs w:val="22"/>
          <w:lang w:val="en-AU" w:bidi="en-AU"/>
        </w:rPr>
        <w:t xml:space="preserve"> The subject land is inside the township boundary identified in the </w:t>
      </w:r>
      <w:r w:rsidR="001A5F3F">
        <w:rPr>
          <w:rFonts w:eastAsia="Century Gothic" w:cs="Century Gothic"/>
          <w:color w:val="auto"/>
          <w:sz w:val="24"/>
          <w:szCs w:val="22"/>
          <w:lang w:val="en-AU" w:bidi="en-AU"/>
        </w:rPr>
        <w:t>F</w:t>
      </w:r>
      <w:r w:rsidR="00B76D56">
        <w:rPr>
          <w:rFonts w:eastAsia="Century Gothic" w:cs="Century Gothic"/>
          <w:color w:val="auto"/>
          <w:sz w:val="24"/>
          <w:szCs w:val="22"/>
          <w:lang w:val="en-AU" w:bidi="en-AU"/>
        </w:rPr>
        <w:t xml:space="preserve">ramework </w:t>
      </w:r>
      <w:r w:rsidR="001A5F3F">
        <w:rPr>
          <w:rFonts w:eastAsia="Century Gothic" w:cs="Century Gothic"/>
          <w:color w:val="auto"/>
          <w:sz w:val="24"/>
          <w:szCs w:val="22"/>
          <w:lang w:val="en-AU" w:bidi="en-AU"/>
        </w:rPr>
        <w:t>P</w:t>
      </w:r>
      <w:r w:rsidR="00B76D56">
        <w:rPr>
          <w:rFonts w:eastAsia="Century Gothic" w:cs="Century Gothic"/>
          <w:color w:val="auto"/>
          <w:sz w:val="24"/>
          <w:szCs w:val="22"/>
          <w:lang w:val="en-AU" w:bidi="en-AU"/>
        </w:rPr>
        <w:t>lan</w:t>
      </w:r>
      <w:r w:rsidR="009829DD">
        <w:rPr>
          <w:rFonts w:eastAsia="Century Gothic" w:cs="Century Gothic"/>
          <w:color w:val="auto"/>
          <w:sz w:val="24"/>
          <w:szCs w:val="22"/>
          <w:lang w:val="en-AU" w:bidi="en-AU"/>
        </w:rPr>
        <w:t xml:space="preserve"> and </w:t>
      </w:r>
      <w:r w:rsidR="00352995">
        <w:rPr>
          <w:rFonts w:eastAsia="Century Gothic" w:cs="Century Gothic"/>
          <w:color w:val="auto"/>
          <w:sz w:val="24"/>
          <w:szCs w:val="22"/>
          <w:lang w:val="en-AU" w:bidi="en-AU"/>
        </w:rPr>
        <w:t xml:space="preserve">is </w:t>
      </w:r>
      <w:r w:rsidR="009829DD">
        <w:rPr>
          <w:rFonts w:eastAsia="Century Gothic" w:cs="Century Gothic"/>
          <w:color w:val="auto"/>
          <w:sz w:val="24"/>
          <w:szCs w:val="22"/>
          <w:lang w:val="en-AU" w:bidi="en-AU"/>
        </w:rPr>
        <w:t>identified as</w:t>
      </w:r>
      <w:r w:rsidR="00E902BD">
        <w:rPr>
          <w:rFonts w:eastAsia="Century Gothic" w:cs="Century Gothic"/>
          <w:color w:val="auto"/>
          <w:sz w:val="24"/>
          <w:szCs w:val="22"/>
          <w:lang w:val="en-AU" w:bidi="en-AU"/>
        </w:rPr>
        <w:t xml:space="preserve"> an</w:t>
      </w:r>
      <w:r w:rsidR="009829DD">
        <w:rPr>
          <w:rFonts w:eastAsia="Century Gothic" w:cs="Century Gothic"/>
          <w:color w:val="auto"/>
          <w:sz w:val="24"/>
          <w:szCs w:val="22"/>
          <w:lang w:val="en-AU" w:bidi="en-AU"/>
        </w:rPr>
        <w:t xml:space="preserve"> ‘Urban Residential Expansion Area’. </w:t>
      </w:r>
      <w:r w:rsidR="00692518">
        <w:rPr>
          <w:rFonts w:eastAsia="Century Gothic" w:cs="Century Gothic"/>
          <w:color w:val="auto"/>
          <w:sz w:val="24"/>
          <w:szCs w:val="22"/>
          <w:lang w:val="en-AU" w:bidi="en-AU"/>
        </w:rPr>
        <w:t xml:space="preserve">The rezoning will assist in providing 15 years residential land supply as required by the policy. The </w:t>
      </w:r>
      <w:r w:rsidR="00692518">
        <w:rPr>
          <w:rFonts w:eastAsia="Century Gothic" w:cs="Century Gothic"/>
          <w:color w:val="auto"/>
          <w:sz w:val="24"/>
          <w:szCs w:val="22"/>
          <w:lang w:val="en-AU" w:bidi="en-AU"/>
        </w:rPr>
        <w:lastRenderedPageBreak/>
        <w:t xml:space="preserve">subdivision accords with policy requirements because it integrates with established residential development and urban infrastructure, provides pedestrian and cycle connectivity to the surrounding area and respects the environmental values of the land by avoiding development in the floodplain. </w:t>
      </w:r>
    </w:p>
    <w:p w14:paraId="40DB2FA0" w14:textId="51F3C8A5" w:rsidR="00692518" w:rsidRPr="00C016CC" w:rsidRDefault="00692518" w:rsidP="00B76D56">
      <w:pPr>
        <w:pStyle w:val="Bullet1"/>
        <w:numPr>
          <w:ilvl w:val="0"/>
          <w:numId w:val="0"/>
        </w:numPr>
        <w:jc w:val="both"/>
        <w:rPr>
          <w:rFonts w:eastAsia="Century Gothic" w:cs="Century Gothic"/>
          <w:color w:val="auto"/>
          <w:sz w:val="24"/>
          <w:szCs w:val="22"/>
          <w:u w:val="single"/>
          <w:lang w:val="en-AU" w:bidi="en-AU"/>
        </w:rPr>
      </w:pPr>
      <w:r w:rsidRPr="00C016CC">
        <w:rPr>
          <w:rFonts w:eastAsia="Century Gothic" w:cs="Century Gothic"/>
          <w:color w:val="auto"/>
          <w:sz w:val="24"/>
          <w:szCs w:val="22"/>
          <w:u w:val="single"/>
          <w:lang w:val="en-AU" w:bidi="en-AU"/>
        </w:rPr>
        <w:t>Clause 11.01-1L-03 Southern Leongatha Growth Area</w:t>
      </w:r>
    </w:p>
    <w:p w14:paraId="760D246F" w14:textId="602DAA5C" w:rsidR="00B325C4" w:rsidRDefault="00C368BC"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The amendment rezones land in accordance with the requirements of the Southern Leongatha Growth Area policy. Specifically, the rezoning and subdivision provides for an efficient use of land providing a range of lot sizes, is contiguous and integrated with surrounding development, avoids placing roads and dwellings in the floodplain</w:t>
      </w:r>
      <w:r w:rsidR="00B325C4">
        <w:rPr>
          <w:rFonts w:eastAsia="Century Gothic" w:cs="Century Gothic"/>
          <w:color w:val="auto"/>
          <w:sz w:val="24"/>
          <w:szCs w:val="22"/>
          <w:lang w:val="en-AU" w:bidi="en-AU"/>
        </w:rPr>
        <w:t xml:space="preserve"> and</w:t>
      </w:r>
      <w:r>
        <w:rPr>
          <w:rFonts w:eastAsia="Century Gothic" w:cs="Century Gothic"/>
          <w:color w:val="auto"/>
          <w:sz w:val="24"/>
          <w:szCs w:val="22"/>
          <w:lang w:val="en-AU" w:bidi="en-AU"/>
        </w:rPr>
        <w:t xml:space="preserve"> supports pedestrian connectivity</w:t>
      </w:r>
      <w:r w:rsidR="00B325C4">
        <w:rPr>
          <w:rFonts w:eastAsia="Century Gothic" w:cs="Century Gothic"/>
          <w:color w:val="auto"/>
          <w:sz w:val="24"/>
          <w:szCs w:val="22"/>
          <w:lang w:val="en-AU" w:bidi="en-AU"/>
        </w:rPr>
        <w:t xml:space="preserve">. The subdivision adjoins an existing open space </w:t>
      </w:r>
      <w:r w:rsidR="003171B5">
        <w:rPr>
          <w:rFonts w:eastAsia="Century Gothic" w:cs="Century Gothic"/>
          <w:color w:val="auto"/>
          <w:sz w:val="24"/>
          <w:szCs w:val="22"/>
          <w:lang w:val="en-AU" w:bidi="en-AU"/>
        </w:rPr>
        <w:t>reserve,</w:t>
      </w:r>
      <w:r w:rsidR="00B325C4">
        <w:rPr>
          <w:rFonts w:eastAsia="Century Gothic" w:cs="Century Gothic"/>
          <w:color w:val="auto"/>
          <w:sz w:val="24"/>
          <w:szCs w:val="22"/>
          <w:lang w:val="en-AU" w:bidi="en-AU"/>
        </w:rPr>
        <w:t xml:space="preserve"> and the drainage reserve will be available for passive recreation. </w:t>
      </w:r>
    </w:p>
    <w:p w14:paraId="16E1E0BE" w14:textId="779505EE" w:rsidR="00692518" w:rsidRDefault="00B325C4"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The subdivision does not ‘Encourage provision of a local park adjoining Coalition Creek’ as stated in the policy. The area of the subject land adjoining Coalition Creek is flood affected and generally subject to waterlogging. For safety, maintenance and usability reasons, the floodplain on the subject land is not well suited for open space</w:t>
      </w:r>
      <w:r w:rsidR="00C016CC">
        <w:rPr>
          <w:rFonts w:eastAsia="Century Gothic" w:cs="Century Gothic"/>
          <w:color w:val="auto"/>
          <w:sz w:val="24"/>
          <w:szCs w:val="22"/>
          <w:lang w:val="en-AU" w:bidi="en-AU"/>
        </w:rPr>
        <w:t xml:space="preserve"> use</w:t>
      </w:r>
      <w:r>
        <w:rPr>
          <w:rFonts w:eastAsia="Century Gothic" w:cs="Century Gothic"/>
          <w:color w:val="auto"/>
          <w:sz w:val="24"/>
          <w:szCs w:val="22"/>
          <w:lang w:val="en-AU" w:bidi="en-AU"/>
        </w:rPr>
        <w:t xml:space="preserve">. </w:t>
      </w:r>
    </w:p>
    <w:p w14:paraId="043FF289" w14:textId="490EB5F4" w:rsidR="00AB5E5E" w:rsidRPr="00C016CC" w:rsidRDefault="00AB5E5E" w:rsidP="00B76D56">
      <w:pPr>
        <w:pStyle w:val="Bullet1"/>
        <w:numPr>
          <w:ilvl w:val="0"/>
          <w:numId w:val="0"/>
        </w:numPr>
        <w:jc w:val="both"/>
        <w:rPr>
          <w:rFonts w:eastAsia="Century Gothic" w:cs="Century Gothic"/>
          <w:color w:val="auto"/>
          <w:sz w:val="24"/>
          <w:szCs w:val="22"/>
          <w:u w:val="single"/>
          <w:lang w:val="en-AU" w:bidi="en-AU"/>
        </w:rPr>
      </w:pPr>
      <w:r w:rsidRPr="00C016CC">
        <w:rPr>
          <w:rFonts w:eastAsia="Century Gothic" w:cs="Century Gothic"/>
          <w:color w:val="auto"/>
          <w:sz w:val="24"/>
          <w:szCs w:val="22"/>
          <w:u w:val="single"/>
          <w:lang w:val="en-AU" w:bidi="en-AU"/>
        </w:rPr>
        <w:t>Clause 42.01 Environmental Significance Overlay Schedule 2 – Special Water Supply Catchment Areas</w:t>
      </w:r>
    </w:p>
    <w:p w14:paraId="22142D72" w14:textId="02DBF57D" w:rsidR="0070249B" w:rsidRDefault="0070249B"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The amendment removes the ESO2 (Special Water Supply Catchment Areas) from the land in recognition that subdivision will require connection to the reticulated sewer network</w:t>
      </w:r>
      <w:r w:rsidR="00651D65">
        <w:rPr>
          <w:rFonts w:eastAsia="Century Gothic" w:cs="Century Gothic"/>
          <w:color w:val="auto"/>
          <w:sz w:val="24"/>
          <w:szCs w:val="22"/>
          <w:lang w:val="en-AU" w:bidi="en-AU"/>
        </w:rPr>
        <w:t xml:space="preserve"> and in doing so, protect the potable water supply quality of the catchment. </w:t>
      </w:r>
      <w:r w:rsidR="00934C50">
        <w:rPr>
          <w:rFonts w:eastAsia="Century Gothic" w:cs="Century Gothic"/>
          <w:color w:val="auto"/>
          <w:sz w:val="24"/>
          <w:szCs w:val="22"/>
          <w:lang w:val="en-AU" w:bidi="en-AU"/>
        </w:rPr>
        <w:t>Regardless of the removal of the ESO2 t</w:t>
      </w:r>
      <w:r w:rsidR="00AB5E5E">
        <w:rPr>
          <w:rFonts w:eastAsia="Century Gothic" w:cs="Century Gothic"/>
          <w:color w:val="auto"/>
          <w:sz w:val="24"/>
          <w:szCs w:val="22"/>
          <w:lang w:val="en-AU" w:bidi="en-AU"/>
        </w:rPr>
        <w:t xml:space="preserve">he subject land will remain in </w:t>
      </w:r>
      <w:r w:rsidR="00934C50">
        <w:rPr>
          <w:rFonts w:eastAsia="Century Gothic" w:cs="Century Gothic"/>
          <w:color w:val="auto"/>
          <w:sz w:val="24"/>
          <w:szCs w:val="22"/>
          <w:lang w:val="en-AU" w:bidi="en-AU"/>
        </w:rPr>
        <w:t xml:space="preserve">a declared special water supply catchment pursuant to the </w:t>
      </w:r>
      <w:r w:rsidR="00934C50" w:rsidRPr="00C016CC">
        <w:rPr>
          <w:rFonts w:eastAsia="Century Gothic" w:cs="Century Gothic"/>
          <w:i/>
          <w:iCs/>
          <w:color w:val="auto"/>
          <w:sz w:val="24"/>
          <w:szCs w:val="22"/>
          <w:lang w:val="en-AU" w:bidi="en-AU"/>
        </w:rPr>
        <w:t>Catchment and Land Protection Act 1994</w:t>
      </w:r>
      <w:r w:rsidR="00934C50">
        <w:rPr>
          <w:rFonts w:eastAsia="Century Gothic" w:cs="Century Gothic"/>
          <w:color w:val="auto"/>
          <w:sz w:val="24"/>
          <w:szCs w:val="22"/>
          <w:lang w:val="en-AU" w:bidi="en-AU"/>
        </w:rPr>
        <w:t xml:space="preserve">. </w:t>
      </w:r>
      <w:r w:rsidR="009069E6">
        <w:rPr>
          <w:rFonts w:eastAsia="Century Gothic" w:cs="Century Gothic"/>
          <w:color w:val="auto"/>
          <w:sz w:val="24"/>
          <w:szCs w:val="22"/>
          <w:lang w:val="en-AU" w:bidi="en-AU"/>
        </w:rPr>
        <w:t>Accordingly, should the planning permit not be acted upon, the catchment will remain protected.</w:t>
      </w:r>
    </w:p>
    <w:p w14:paraId="7A20142F" w14:textId="0AE74725" w:rsidR="00F26856" w:rsidRPr="00C016CC" w:rsidRDefault="00F26856" w:rsidP="00B76D56">
      <w:pPr>
        <w:pStyle w:val="Bullet1"/>
        <w:numPr>
          <w:ilvl w:val="0"/>
          <w:numId w:val="0"/>
        </w:numPr>
        <w:jc w:val="both"/>
        <w:rPr>
          <w:rFonts w:eastAsia="Century Gothic" w:cs="Century Gothic"/>
          <w:color w:val="auto"/>
          <w:sz w:val="24"/>
          <w:szCs w:val="22"/>
          <w:u w:val="single"/>
          <w:lang w:val="en-AU" w:bidi="en-AU"/>
        </w:rPr>
      </w:pPr>
      <w:r w:rsidRPr="00C016CC">
        <w:rPr>
          <w:rFonts w:eastAsia="Century Gothic" w:cs="Century Gothic"/>
          <w:color w:val="auto"/>
          <w:sz w:val="24"/>
          <w:szCs w:val="22"/>
          <w:u w:val="single"/>
          <w:lang w:val="en-AU" w:bidi="en-AU"/>
        </w:rPr>
        <w:t xml:space="preserve">Clause 44.01 Erosion Management Overlay Schedule 1 </w:t>
      </w:r>
      <w:r w:rsidR="009069E6">
        <w:rPr>
          <w:rFonts w:eastAsia="Century Gothic" w:cs="Century Gothic"/>
          <w:color w:val="auto"/>
          <w:sz w:val="24"/>
          <w:szCs w:val="22"/>
          <w:u w:val="single"/>
          <w:lang w:val="en-AU" w:bidi="en-AU"/>
        </w:rPr>
        <w:t xml:space="preserve">- </w:t>
      </w:r>
      <w:r w:rsidRPr="00C016CC">
        <w:rPr>
          <w:rFonts w:eastAsia="Century Gothic" w:cs="Century Gothic"/>
          <w:color w:val="auto"/>
          <w:sz w:val="24"/>
          <w:szCs w:val="22"/>
          <w:u w:val="single"/>
          <w:lang w:val="en-AU" w:bidi="en-AU"/>
        </w:rPr>
        <w:t>Areas Susceptible to Erosion</w:t>
      </w:r>
    </w:p>
    <w:p w14:paraId="43BDB6C7" w14:textId="70C614FD" w:rsidR="00651D65" w:rsidRDefault="00651D65"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The amendment removes the EMO1 from the land in recognition that the land is moderately undulating and is unlikely to be subject to landslip risk. Development of the land will require the installation of underground drainage infrastructure to Council’s standards. Effective management of stormwater will significantly reduce any erosion or land slip potential on the land.</w:t>
      </w:r>
    </w:p>
    <w:p w14:paraId="45348083" w14:textId="3E92FD50" w:rsidR="00F26856" w:rsidRPr="00C016CC" w:rsidRDefault="00F26856" w:rsidP="00B76D56">
      <w:pPr>
        <w:pStyle w:val="Bullet1"/>
        <w:numPr>
          <w:ilvl w:val="0"/>
          <w:numId w:val="0"/>
        </w:numPr>
        <w:jc w:val="both"/>
        <w:rPr>
          <w:rFonts w:eastAsia="Century Gothic" w:cs="Century Gothic"/>
          <w:color w:val="auto"/>
          <w:sz w:val="24"/>
          <w:szCs w:val="22"/>
          <w:u w:val="single"/>
          <w:lang w:val="en-AU" w:bidi="en-AU"/>
        </w:rPr>
      </w:pPr>
      <w:r w:rsidRPr="00C016CC">
        <w:rPr>
          <w:rFonts w:eastAsia="Century Gothic" w:cs="Century Gothic"/>
          <w:color w:val="auto"/>
          <w:sz w:val="24"/>
          <w:szCs w:val="22"/>
          <w:u w:val="single"/>
          <w:lang w:val="en-AU" w:bidi="en-AU"/>
        </w:rPr>
        <w:t xml:space="preserve">Clause 44.04 Land Subject to Inundation Overlay </w:t>
      </w:r>
    </w:p>
    <w:p w14:paraId="3E66D9E5" w14:textId="3D35DC41" w:rsidR="00651D65" w:rsidRPr="00B76D56" w:rsidRDefault="00651D65" w:rsidP="00B76D56">
      <w:pPr>
        <w:pStyle w:val="Bullet1"/>
        <w:numPr>
          <w:ilvl w:val="0"/>
          <w:numId w:val="0"/>
        </w:numPr>
        <w:jc w:val="both"/>
        <w:rPr>
          <w:rFonts w:eastAsia="Century Gothic" w:cs="Century Gothic"/>
          <w:color w:val="auto"/>
          <w:sz w:val="24"/>
          <w:szCs w:val="22"/>
          <w:lang w:val="en-AU" w:bidi="en-AU"/>
        </w:rPr>
      </w:pPr>
      <w:r>
        <w:rPr>
          <w:rFonts w:eastAsia="Century Gothic" w:cs="Century Gothic"/>
          <w:color w:val="auto"/>
          <w:sz w:val="24"/>
          <w:szCs w:val="22"/>
          <w:lang w:val="en-AU" w:bidi="en-AU"/>
        </w:rPr>
        <w:t xml:space="preserve">The amendment updates the application of the LSIO on the subject land in accordance with the best available flood mapping information available from the West Gippsland Catchment Management Authority.  </w:t>
      </w:r>
      <w:r w:rsidR="00F26856">
        <w:rPr>
          <w:rFonts w:eastAsia="Century Gothic" w:cs="Century Gothic"/>
          <w:color w:val="auto"/>
          <w:sz w:val="24"/>
          <w:szCs w:val="22"/>
          <w:lang w:val="en-AU" w:bidi="en-AU"/>
        </w:rPr>
        <w:t>The changes to the LSIO are minor, affecting the delineation of the western boundary of the 1% Annual Exceedance Probability (1 in 100 year flood)</w:t>
      </w:r>
      <w:r w:rsidR="00C016CC">
        <w:rPr>
          <w:rFonts w:eastAsia="Century Gothic" w:cs="Century Gothic"/>
          <w:color w:val="auto"/>
          <w:sz w:val="24"/>
          <w:szCs w:val="22"/>
          <w:lang w:val="en-AU" w:bidi="en-AU"/>
        </w:rPr>
        <w:t xml:space="preserve"> flood area</w:t>
      </w:r>
      <w:r w:rsidR="00F26856">
        <w:rPr>
          <w:rFonts w:eastAsia="Century Gothic" w:cs="Century Gothic"/>
          <w:color w:val="auto"/>
          <w:sz w:val="24"/>
          <w:szCs w:val="22"/>
          <w:lang w:val="en-AU" w:bidi="en-AU"/>
        </w:rPr>
        <w:t xml:space="preserve">. All dwellings will be outside of the amended LSIO area. </w:t>
      </w:r>
    </w:p>
    <w:p w14:paraId="513244F2" w14:textId="0DF7BA21" w:rsidR="00F26856" w:rsidRPr="00C016CC" w:rsidRDefault="00F26856" w:rsidP="00B76D56">
      <w:pPr>
        <w:pStyle w:val="Bullet1"/>
        <w:numPr>
          <w:ilvl w:val="0"/>
          <w:numId w:val="0"/>
        </w:numPr>
        <w:jc w:val="both"/>
        <w:rPr>
          <w:rFonts w:eastAsia="Century Gothic" w:cs="Century Gothic"/>
          <w:color w:val="auto"/>
          <w:sz w:val="24"/>
          <w:szCs w:val="22"/>
          <w:u w:val="single"/>
          <w:lang w:val="en-AU" w:bidi="en-AU"/>
        </w:rPr>
      </w:pPr>
      <w:r w:rsidRPr="00C016CC">
        <w:rPr>
          <w:rFonts w:eastAsia="Century Gothic" w:cs="Century Gothic"/>
          <w:color w:val="auto"/>
          <w:sz w:val="24"/>
          <w:szCs w:val="22"/>
          <w:u w:val="single"/>
          <w:lang w:val="en-AU" w:bidi="en-AU"/>
        </w:rPr>
        <w:t>Combined rezoning and planning permit</w:t>
      </w:r>
    </w:p>
    <w:p w14:paraId="1A42C634" w14:textId="6ADD91E1" w:rsidR="00B76D56" w:rsidRPr="00B76D56" w:rsidRDefault="00B76D56" w:rsidP="00B76D56">
      <w:pPr>
        <w:pStyle w:val="Bullet1"/>
        <w:numPr>
          <w:ilvl w:val="0"/>
          <w:numId w:val="0"/>
        </w:numPr>
        <w:jc w:val="both"/>
        <w:rPr>
          <w:rFonts w:eastAsia="Century Gothic" w:cs="Century Gothic"/>
          <w:color w:val="auto"/>
          <w:sz w:val="24"/>
          <w:szCs w:val="22"/>
          <w:lang w:val="en-AU" w:bidi="en-AU"/>
        </w:rPr>
      </w:pPr>
      <w:r w:rsidRPr="00B76D56">
        <w:rPr>
          <w:rFonts w:eastAsia="Century Gothic" w:cs="Century Gothic"/>
          <w:color w:val="auto"/>
          <w:sz w:val="24"/>
          <w:szCs w:val="22"/>
          <w:lang w:val="en-AU" w:bidi="en-AU"/>
        </w:rPr>
        <w:t xml:space="preserve">The combined rezoning and subdivision of land will bring additional housing stock to the market to accommodate the demand </w:t>
      </w:r>
      <w:r w:rsidR="000470A1">
        <w:rPr>
          <w:rFonts w:eastAsia="Century Gothic" w:cs="Century Gothic"/>
          <w:color w:val="auto"/>
          <w:sz w:val="24"/>
          <w:szCs w:val="22"/>
          <w:lang w:val="en-AU" w:bidi="en-AU"/>
        </w:rPr>
        <w:t>for housing in Leongatha</w:t>
      </w:r>
      <w:r w:rsidR="009829DD">
        <w:rPr>
          <w:rFonts w:eastAsia="Century Gothic" w:cs="Century Gothic"/>
          <w:color w:val="auto"/>
          <w:sz w:val="24"/>
          <w:szCs w:val="22"/>
          <w:lang w:val="en-AU" w:bidi="en-AU"/>
        </w:rPr>
        <w:t xml:space="preserve"> </w:t>
      </w:r>
      <w:r w:rsidRPr="00B76D56">
        <w:rPr>
          <w:rFonts w:eastAsia="Century Gothic" w:cs="Century Gothic"/>
          <w:color w:val="auto"/>
          <w:sz w:val="24"/>
          <w:szCs w:val="22"/>
          <w:lang w:val="en-AU" w:bidi="en-AU"/>
        </w:rPr>
        <w:t xml:space="preserve">and provide a diversity of </w:t>
      </w:r>
      <w:r w:rsidR="007E3D9A">
        <w:rPr>
          <w:rFonts w:eastAsia="Century Gothic" w:cs="Century Gothic"/>
          <w:color w:val="auto"/>
          <w:sz w:val="24"/>
          <w:szCs w:val="22"/>
          <w:lang w:val="en-AU" w:bidi="en-AU"/>
        </w:rPr>
        <w:t xml:space="preserve">lot sizes to provide </w:t>
      </w:r>
      <w:r w:rsidR="008270F4">
        <w:rPr>
          <w:rFonts w:eastAsia="Century Gothic" w:cs="Century Gothic"/>
          <w:color w:val="auto"/>
          <w:sz w:val="24"/>
          <w:szCs w:val="22"/>
          <w:lang w:val="en-AU" w:bidi="en-AU"/>
        </w:rPr>
        <w:t xml:space="preserve">for </w:t>
      </w:r>
      <w:r w:rsidR="007E3D9A">
        <w:rPr>
          <w:rFonts w:eastAsia="Century Gothic" w:cs="Century Gothic"/>
          <w:color w:val="auto"/>
          <w:sz w:val="24"/>
          <w:szCs w:val="22"/>
          <w:lang w:val="en-AU" w:bidi="en-AU"/>
        </w:rPr>
        <w:t xml:space="preserve">a </w:t>
      </w:r>
      <w:r w:rsidR="008270F4">
        <w:rPr>
          <w:rFonts w:eastAsia="Century Gothic" w:cs="Century Gothic"/>
          <w:color w:val="auto"/>
          <w:sz w:val="24"/>
          <w:szCs w:val="22"/>
          <w:lang w:val="en-AU" w:bidi="en-AU"/>
        </w:rPr>
        <w:t xml:space="preserve">range of housing choice. </w:t>
      </w:r>
    </w:p>
    <w:p w14:paraId="0EBA68FF" w14:textId="470FB001" w:rsidR="00B76D56" w:rsidRPr="00B76D56" w:rsidRDefault="00B76D56" w:rsidP="00B76D56">
      <w:pPr>
        <w:pStyle w:val="Bullet1"/>
        <w:numPr>
          <w:ilvl w:val="0"/>
          <w:numId w:val="0"/>
        </w:numPr>
        <w:jc w:val="both"/>
        <w:rPr>
          <w:rFonts w:eastAsia="Century Gothic" w:cs="Century Gothic"/>
          <w:color w:val="auto"/>
          <w:sz w:val="24"/>
          <w:szCs w:val="22"/>
          <w:lang w:val="en-AU" w:bidi="en-AU"/>
        </w:rPr>
      </w:pPr>
      <w:r w:rsidRPr="00B76D56">
        <w:rPr>
          <w:rFonts w:eastAsia="Century Gothic" w:cs="Century Gothic"/>
          <w:color w:val="auto"/>
          <w:sz w:val="24"/>
          <w:szCs w:val="22"/>
          <w:lang w:val="en-AU" w:bidi="en-AU"/>
        </w:rPr>
        <w:lastRenderedPageBreak/>
        <w:t xml:space="preserve">A </w:t>
      </w:r>
      <w:r w:rsidR="00A314AA">
        <w:rPr>
          <w:rFonts w:eastAsia="Century Gothic" w:cs="Century Gothic"/>
          <w:color w:val="auto"/>
          <w:sz w:val="24"/>
          <w:szCs w:val="22"/>
          <w:lang w:val="en-AU" w:bidi="en-AU"/>
        </w:rPr>
        <w:t>combined</w:t>
      </w:r>
      <w:r w:rsidR="00A314AA" w:rsidRPr="00B76D56">
        <w:rPr>
          <w:rFonts w:eastAsia="Century Gothic" w:cs="Century Gothic"/>
          <w:color w:val="auto"/>
          <w:sz w:val="24"/>
          <w:szCs w:val="22"/>
          <w:lang w:val="en-AU" w:bidi="en-AU"/>
        </w:rPr>
        <w:t xml:space="preserve"> </w:t>
      </w:r>
      <w:r w:rsidRPr="00B76D56">
        <w:rPr>
          <w:rFonts w:eastAsia="Century Gothic" w:cs="Century Gothic"/>
          <w:color w:val="auto"/>
          <w:sz w:val="24"/>
          <w:szCs w:val="22"/>
          <w:lang w:val="en-AU" w:bidi="en-AU"/>
        </w:rPr>
        <w:t>rezoning and subdivision permit application is sought for the following reasons:</w:t>
      </w:r>
    </w:p>
    <w:p w14:paraId="205AC9A4" w14:textId="3FDFF107" w:rsidR="00B76D56" w:rsidRPr="00B76D56" w:rsidRDefault="00B76D56" w:rsidP="00B76D56">
      <w:pPr>
        <w:pStyle w:val="Bullet1"/>
        <w:numPr>
          <w:ilvl w:val="0"/>
          <w:numId w:val="24"/>
        </w:numPr>
        <w:tabs>
          <w:tab w:val="left" w:pos="567"/>
        </w:tabs>
        <w:ind w:left="567" w:hanging="567"/>
        <w:jc w:val="both"/>
        <w:rPr>
          <w:rFonts w:eastAsia="Century Gothic" w:cs="Century Gothic"/>
          <w:color w:val="auto"/>
          <w:sz w:val="24"/>
          <w:szCs w:val="22"/>
          <w:lang w:val="en-AU" w:bidi="en-AU"/>
        </w:rPr>
      </w:pPr>
      <w:r w:rsidRPr="00B76D56">
        <w:rPr>
          <w:rFonts w:eastAsia="Century Gothic" w:cs="Century Gothic"/>
          <w:color w:val="auto"/>
          <w:sz w:val="24"/>
          <w:szCs w:val="22"/>
          <w:lang w:val="en-AU" w:bidi="en-AU"/>
        </w:rPr>
        <w:t xml:space="preserve">The </w:t>
      </w:r>
      <w:r w:rsidR="00837CDB">
        <w:rPr>
          <w:rFonts w:eastAsia="Century Gothic" w:cs="Century Gothic"/>
          <w:color w:val="auto"/>
          <w:sz w:val="24"/>
          <w:szCs w:val="22"/>
          <w:lang w:val="en-AU" w:bidi="en-AU"/>
        </w:rPr>
        <w:t xml:space="preserve">Section 96A combined amendment and planning permit </w:t>
      </w:r>
      <w:r w:rsidRPr="00B76D56">
        <w:rPr>
          <w:rFonts w:eastAsia="Century Gothic" w:cs="Century Gothic"/>
          <w:color w:val="auto"/>
          <w:sz w:val="24"/>
          <w:szCs w:val="22"/>
          <w:lang w:val="en-AU" w:bidi="en-AU"/>
        </w:rPr>
        <w:t xml:space="preserve">proposal represents an opportunity to ensure </w:t>
      </w:r>
      <w:r w:rsidR="00A314AA">
        <w:rPr>
          <w:rFonts w:eastAsia="Century Gothic" w:cs="Century Gothic"/>
          <w:color w:val="auto"/>
          <w:sz w:val="24"/>
          <w:szCs w:val="22"/>
          <w:lang w:val="en-AU" w:bidi="en-AU"/>
        </w:rPr>
        <w:t xml:space="preserve">that </w:t>
      </w:r>
      <w:r w:rsidRPr="00B76D56">
        <w:rPr>
          <w:rFonts w:eastAsia="Century Gothic" w:cs="Century Gothic"/>
          <w:color w:val="auto"/>
          <w:sz w:val="24"/>
          <w:szCs w:val="22"/>
          <w:lang w:val="en-AU" w:bidi="en-AU"/>
        </w:rPr>
        <w:t xml:space="preserve">a </w:t>
      </w:r>
      <w:r w:rsidR="009829DD" w:rsidRPr="00B76D56">
        <w:rPr>
          <w:rFonts w:eastAsia="Century Gothic" w:cs="Century Gothic"/>
          <w:color w:val="auto"/>
          <w:sz w:val="24"/>
          <w:szCs w:val="22"/>
          <w:lang w:val="en-AU" w:bidi="en-AU"/>
        </w:rPr>
        <w:t>well-coordinated</w:t>
      </w:r>
      <w:r w:rsidRPr="00B76D56">
        <w:rPr>
          <w:rFonts w:eastAsia="Century Gothic" w:cs="Century Gothic"/>
          <w:color w:val="auto"/>
          <w:sz w:val="24"/>
          <w:szCs w:val="22"/>
          <w:lang w:val="en-AU" w:bidi="en-AU"/>
        </w:rPr>
        <w:t xml:space="preserve"> planning outcome can be achieved</w:t>
      </w:r>
      <w:r w:rsidR="005E057E">
        <w:rPr>
          <w:rFonts w:eastAsia="Century Gothic" w:cs="Century Gothic"/>
          <w:color w:val="auto"/>
          <w:sz w:val="24"/>
          <w:szCs w:val="22"/>
          <w:lang w:val="en-AU" w:bidi="en-AU"/>
        </w:rPr>
        <w:t xml:space="preserve"> and will ensure an efficient planning process</w:t>
      </w:r>
      <w:r w:rsidR="00A314AA">
        <w:rPr>
          <w:rFonts w:eastAsia="Century Gothic" w:cs="Century Gothic"/>
          <w:color w:val="auto"/>
          <w:sz w:val="24"/>
          <w:szCs w:val="22"/>
          <w:lang w:val="en-AU" w:bidi="en-AU"/>
        </w:rPr>
        <w:t>.</w:t>
      </w:r>
    </w:p>
    <w:p w14:paraId="55F66B99" w14:textId="48D11680" w:rsidR="00B76D56" w:rsidRPr="00B76D56" w:rsidRDefault="00B76D56" w:rsidP="00B76D56">
      <w:pPr>
        <w:pStyle w:val="Bullet1"/>
        <w:numPr>
          <w:ilvl w:val="0"/>
          <w:numId w:val="24"/>
        </w:numPr>
        <w:tabs>
          <w:tab w:val="left" w:pos="567"/>
        </w:tabs>
        <w:ind w:left="567" w:hanging="567"/>
        <w:jc w:val="both"/>
        <w:rPr>
          <w:rFonts w:eastAsia="Century Gothic" w:cs="Century Gothic"/>
          <w:color w:val="auto"/>
          <w:sz w:val="24"/>
          <w:szCs w:val="22"/>
          <w:lang w:val="en-AU" w:bidi="en-AU"/>
        </w:rPr>
      </w:pPr>
      <w:r w:rsidRPr="00B76D56">
        <w:rPr>
          <w:rFonts w:eastAsia="Century Gothic" w:cs="Century Gothic"/>
          <w:color w:val="auto"/>
          <w:sz w:val="24"/>
          <w:szCs w:val="22"/>
          <w:lang w:val="en-AU" w:bidi="en-AU"/>
        </w:rPr>
        <w:t xml:space="preserve">A </w:t>
      </w:r>
      <w:r w:rsidR="00AC7011">
        <w:rPr>
          <w:rFonts w:eastAsia="Century Gothic" w:cs="Century Gothic"/>
          <w:color w:val="auto"/>
          <w:sz w:val="24"/>
          <w:szCs w:val="22"/>
          <w:lang w:val="en-AU" w:bidi="en-AU"/>
        </w:rPr>
        <w:t>combined rezoning and</w:t>
      </w:r>
      <w:r w:rsidR="00AC7011" w:rsidRPr="00B76D56">
        <w:rPr>
          <w:rFonts w:eastAsia="Century Gothic" w:cs="Century Gothic"/>
          <w:color w:val="auto"/>
          <w:sz w:val="24"/>
          <w:szCs w:val="22"/>
          <w:lang w:val="en-AU" w:bidi="en-AU"/>
        </w:rPr>
        <w:t xml:space="preserve"> </w:t>
      </w:r>
      <w:r w:rsidR="009829DD">
        <w:rPr>
          <w:rFonts w:eastAsia="Century Gothic" w:cs="Century Gothic"/>
          <w:color w:val="auto"/>
          <w:sz w:val="24"/>
          <w:szCs w:val="22"/>
          <w:lang w:val="en-AU" w:bidi="en-AU"/>
        </w:rPr>
        <w:t xml:space="preserve">planning </w:t>
      </w:r>
      <w:r w:rsidRPr="00B76D56">
        <w:rPr>
          <w:rFonts w:eastAsia="Century Gothic" w:cs="Century Gothic"/>
          <w:color w:val="auto"/>
          <w:sz w:val="24"/>
          <w:szCs w:val="22"/>
          <w:lang w:val="en-AU" w:bidi="en-AU"/>
        </w:rPr>
        <w:t xml:space="preserve">permit will ensure the site is developed generally in accordance with the </w:t>
      </w:r>
      <w:r w:rsidRPr="009E647E">
        <w:rPr>
          <w:rFonts w:eastAsia="Century Gothic" w:cs="Century Gothic"/>
          <w:i/>
          <w:iCs/>
          <w:color w:val="auto"/>
          <w:sz w:val="24"/>
          <w:szCs w:val="22"/>
          <w:lang w:val="en-AU" w:bidi="en-AU"/>
        </w:rPr>
        <w:t>South Leongatha Outline Development Plan</w:t>
      </w:r>
      <w:r w:rsidR="009829DD">
        <w:rPr>
          <w:rFonts w:eastAsia="Century Gothic" w:cs="Century Gothic"/>
          <w:color w:val="auto"/>
          <w:sz w:val="24"/>
          <w:szCs w:val="22"/>
          <w:lang w:val="en-AU" w:bidi="en-AU"/>
        </w:rPr>
        <w:t xml:space="preserve"> </w:t>
      </w:r>
      <w:r w:rsidR="007452B6">
        <w:rPr>
          <w:rFonts w:eastAsia="Century Gothic" w:cs="Century Gothic"/>
          <w:color w:val="auto"/>
          <w:sz w:val="24"/>
          <w:szCs w:val="22"/>
          <w:lang w:val="en-AU" w:bidi="en-AU"/>
        </w:rPr>
        <w:t xml:space="preserve">(2013) </w:t>
      </w:r>
      <w:r w:rsidR="009829DD">
        <w:rPr>
          <w:rFonts w:eastAsia="Century Gothic" w:cs="Century Gothic"/>
          <w:color w:val="auto"/>
          <w:sz w:val="24"/>
          <w:szCs w:val="22"/>
          <w:lang w:val="en-AU" w:bidi="en-AU"/>
        </w:rPr>
        <w:t>and</w:t>
      </w:r>
      <w:r w:rsidR="007452B6">
        <w:rPr>
          <w:rFonts w:eastAsia="Century Gothic" w:cs="Century Gothic"/>
          <w:color w:val="auto"/>
          <w:sz w:val="24"/>
          <w:szCs w:val="22"/>
          <w:lang w:val="en-AU" w:bidi="en-AU"/>
        </w:rPr>
        <w:t xml:space="preserve"> the</w:t>
      </w:r>
      <w:r w:rsidR="009829DD">
        <w:rPr>
          <w:rFonts w:eastAsia="Century Gothic" w:cs="Century Gothic"/>
          <w:color w:val="auto"/>
          <w:sz w:val="24"/>
          <w:szCs w:val="22"/>
          <w:lang w:val="en-AU" w:bidi="en-AU"/>
        </w:rPr>
        <w:t xml:space="preserve"> ‘Southern Leongatha growth area’ provisions </w:t>
      </w:r>
      <w:r w:rsidR="007452B6">
        <w:rPr>
          <w:rFonts w:eastAsia="Century Gothic" w:cs="Century Gothic"/>
          <w:color w:val="auto"/>
          <w:sz w:val="24"/>
          <w:szCs w:val="22"/>
          <w:lang w:val="en-AU" w:bidi="en-AU"/>
        </w:rPr>
        <w:t xml:space="preserve">located </w:t>
      </w:r>
      <w:r w:rsidR="009829DD">
        <w:rPr>
          <w:rFonts w:eastAsia="Century Gothic" w:cs="Century Gothic"/>
          <w:color w:val="auto"/>
          <w:sz w:val="24"/>
          <w:szCs w:val="22"/>
          <w:lang w:val="en-AU" w:bidi="en-AU"/>
        </w:rPr>
        <w:t>at Clause 11.01-1L.03</w:t>
      </w:r>
      <w:r w:rsidR="007452B6">
        <w:rPr>
          <w:rFonts w:eastAsia="Century Gothic" w:cs="Century Gothic"/>
          <w:color w:val="auto"/>
          <w:sz w:val="24"/>
          <w:szCs w:val="22"/>
          <w:lang w:val="en-AU" w:bidi="en-AU"/>
        </w:rPr>
        <w:t>.</w:t>
      </w:r>
    </w:p>
    <w:p w14:paraId="698AB04F" w14:textId="60C3FF05" w:rsidR="00B76D56" w:rsidRPr="00B76D56" w:rsidRDefault="007452B6" w:rsidP="00B76D56">
      <w:pPr>
        <w:pStyle w:val="Bullet1"/>
        <w:numPr>
          <w:ilvl w:val="0"/>
          <w:numId w:val="24"/>
        </w:numPr>
        <w:tabs>
          <w:tab w:val="left" w:pos="567"/>
        </w:tabs>
        <w:ind w:left="567" w:hanging="567"/>
        <w:rPr>
          <w:rFonts w:eastAsia="Century Gothic" w:cs="Century Gothic"/>
          <w:color w:val="auto"/>
          <w:sz w:val="24"/>
          <w:szCs w:val="22"/>
          <w:lang w:val="en-AU" w:bidi="en-AU"/>
        </w:rPr>
      </w:pPr>
      <w:r>
        <w:rPr>
          <w:rFonts w:eastAsia="Century Gothic" w:cs="Century Gothic"/>
          <w:color w:val="auto"/>
          <w:sz w:val="24"/>
          <w:szCs w:val="22"/>
          <w:lang w:val="en-AU" w:bidi="en-AU"/>
        </w:rPr>
        <w:t>This approach</w:t>
      </w:r>
      <w:r w:rsidR="00B76D56" w:rsidRPr="00B76D56">
        <w:rPr>
          <w:rFonts w:eastAsia="Century Gothic" w:cs="Century Gothic"/>
          <w:color w:val="auto"/>
          <w:sz w:val="24"/>
          <w:szCs w:val="22"/>
          <w:lang w:val="en-AU" w:bidi="en-AU"/>
        </w:rPr>
        <w:t xml:space="preserve"> will provide Council with development certainty and comfort that an acceptable layout can be achieved</w:t>
      </w:r>
      <w:r>
        <w:rPr>
          <w:rFonts w:eastAsia="Century Gothic" w:cs="Century Gothic"/>
          <w:color w:val="auto"/>
          <w:sz w:val="24"/>
          <w:szCs w:val="22"/>
          <w:lang w:val="en-AU" w:bidi="en-AU"/>
        </w:rPr>
        <w:t xml:space="preserve"> and that it can be adequately serviced with infrastructure.</w:t>
      </w:r>
    </w:p>
    <w:p w14:paraId="089ABDD7" w14:textId="5A1B5BD3" w:rsidR="00B76D56" w:rsidRPr="00B76D56" w:rsidRDefault="00B76D56" w:rsidP="00B76D56">
      <w:pPr>
        <w:pStyle w:val="Bullet1"/>
        <w:numPr>
          <w:ilvl w:val="0"/>
          <w:numId w:val="24"/>
        </w:numPr>
        <w:tabs>
          <w:tab w:val="left" w:pos="567"/>
        </w:tabs>
        <w:ind w:left="567" w:hanging="567"/>
        <w:rPr>
          <w:rFonts w:eastAsia="Century Gothic" w:cs="Century Gothic"/>
          <w:color w:val="auto"/>
          <w:sz w:val="24"/>
          <w:szCs w:val="22"/>
          <w:lang w:val="en-AU" w:bidi="en-AU"/>
        </w:rPr>
      </w:pPr>
      <w:r w:rsidRPr="00B76D56">
        <w:rPr>
          <w:rFonts w:eastAsia="Century Gothic" w:cs="Century Gothic"/>
          <w:color w:val="auto"/>
          <w:sz w:val="24"/>
          <w:szCs w:val="22"/>
          <w:lang w:val="en-AU" w:bidi="en-AU"/>
        </w:rPr>
        <w:t xml:space="preserve">The subdivision will bring additional allotments to market to </w:t>
      </w:r>
      <w:r w:rsidR="00FA0C86">
        <w:rPr>
          <w:rFonts w:eastAsia="Century Gothic" w:cs="Century Gothic"/>
          <w:color w:val="auto"/>
          <w:sz w:val="24"/>
          <w:szCs w:val="22"/>
          <w:lang w:val="en-AU" w:bidi="en-AU"/>
        </w:rPr>
        <w:t xml:space="preserve">support </w:t>
      </w:r>
      <w:r w:rsidR="00837CDB">
        <w:rPr>
          <w:rFonts w:eastAsia="Century Gothic" w:cs="Century Gothic"/>
          <w:color w:val="auto"/>
          <w:sz w:val="24"/>
          <w:szCs w:val="22"/>
          <w:lang w:val="en-AU" w:bidi="en-AU"/>
        </w:rPr>
        <w:t>land supply within Leongatha.</w:t>
      </w:r>
    </w:p>
    <w:p w14:paraId="5D6EF731" w14:textId="77777777" w:rsidR="00B76D56" w:rsidRDefault="00B76D56" w:rsidP="00A15C2E">
      <w:pPr>
        <w:rPr>
          <w:color w:val="44546A" w:themeColor="text2"/>
          <w:highlight w:val="lightGray"/>
        </w:rPr>
      </w:pPr>
    </w:p>
    <w:p w14:paraId="22CB40E4" w14:textId="64318043" w:rsidR="00A15C2E" w:rsidRDefault="00A15C2E" w:rsidP="006A19B5">
      <w:pPr>
        <w:pStyle w:val="Heading3"/>
      </w:pPr>
      <w:r>
        <w:t>How does the amendment implement the objectives of planning in Victoria?</w:t>
      </w:r>
    </w:p>
    <w:p w14:paraId="65C69630" w14:textId="5378BDCD" w:rsidR="0079036C" w:rsidRPr="00DB58D2" w:rsidRDefault="0079036C" w:rsidP="0079036C">
      <w:pPr>
        <w:pStyle w:val="Bullet1"/>
        <w:numPr>
          <w:ilvl w:val="0"/>
          <w:numId w:val="0"/>
        </w:numPr>
        <w:jc w:val="both"/>
        <w:rPr>
          <w:rFonts w:eastAsia="Century Gothic" w:cs="Century Gothic"/>
          <w:color w:val="auto"/>
          <w:sz w:val="24"/>
          <w:szCs w:val="22"/>
          <w:lang w:val="en-AU" w:bidi="en-AU"/>
        </w:rPr>
      </w:pPr>
      <w:r w:rsidRPr="00DB58D2">
        <w:rPr>
          <w:rFonts w:eastAsia="Century Gothic" w:cs="Century Gothic"/>
          <w:color w:val="auto"/>
          <w:sz w:val="24"/>
          <w:szCs w:val="22"/>
          <w:lang w:val="en-AU" w:bidi="en-AU"/>
        </w:rPr>
        <w:t xml:space="preserve">The proposal implements the following objectives of planning in Victoria, </w:t>
      </w:r>
      <w:r w:rsidR="005E057E">
        <w:rPr>
          <w:rFonts w:eastAsia="Century Gothic" w:cs="Century Gothic"/>
          <w:color w:val="auto"/>
          <w:sz w:val="24"/>
          <w:szCs w:val="22"/>
          <w:lang w:val="en-AU" w:bidi="en-AU"/>
        </w:rPr>
        <w:t xml:space="preserve">as </w:t>
      </w:r>
      <w:r w:rsidRPr="00DB58D2">
        <w:rPr>
          <w:rFonts w:eastAsia="Century Gothic" w:cs="Century Gothic"/>
          <w:color w:val="auto"/>
          <w:sz w:val="24"/>
          <w:szCs w:val="22"/>
          <w:lang w:val="en-AU" w:bidi="en-AU"/>
        </w:rPr>
        <w:t xml:space="preserve">set out in Section 4(1) of the </w:t>
      </w:r>
      <w:r w:rsidRPr="00A3108A">
        <w:rPr>
          <w:rFonts w:eastAsia="Century Gothic" w:cs="Century Gothic"/>
          <w:i/>
          <w:color w:val="auto"/>
          <w:sz w:val="24"/>
          <w:szCs w:val="22"/>
          <w:lang w:val="en-AU" w:bidi="en-AU"/>
        </w:rPr>
        <w:t>Planning and Environment Act 1987</w:t>
      </w:r>
      <w:r w:rsidRPr="00DB58D2">
        <w:rPr>
          <w:rFonts w:eastAsia="Century Gothic" w:cs="Century Gothic"/>
          <w:color w:val="auto"/>
          <w:sz w:val="24"/>
          <w:szCs w:val="22"/>
          <w:lang w:val="en-AU" w:bidi="en-AU"/>
        </w:rPr>
        <w:t>:</w:t>
      </w:r>
    </w:p>
    <w:p w14:paraId="0E7CAF91" w14:textId="77777777" w:rsidR="0079036C" w:rsidRPr="009E647E" w:rsidRDefault="0079036C" w:rsidP="0079036C">
      <w:pPr>
        <w:pStyle w:val="Bullet1"/>
        <w:numPr>
          <w:ilvl w:val="0"/>
          <w:numId w:val="0"/>
        </w:numPr>
        <w:jc w:val="both"/>
        <w:rPr>
          <w:rFonts w:eastAsia="Century Gothic" w:cs="Century Gothic"/>
          <w:i/>
          <w:iCs/>
          <w:color w:val="auto"/>
          <w:sz w:val="24"/>
          <w:szCs w:val="22"/>
          <w:lang w:val="en-AU" w:bidi="en-AU"/>
        </w:rPr>
      </w:pPr>
      <w:r w:rsidRPr="009E647E">
        <w:rPr>
          <w:rFonts w:eastAsia="Century Gothic" w:cs="Century Gothic"/>
          <w:i/>
          <w:iCs/>
          <w:color w:val="auto"/>
          <w:sz w:val="24"/>
          <w:szCs w:val="22"/>
          <w:lang w:val="en-AU" w:bidi="en-AU"/>
        </w:rPr>
        <w:t xml:space="preserve">(a) provide for the fair, orderly, economic and sustainable use, and development of </w:t>
      </w:r>
      <w:proofErr w:type="gramStart"/>
      <w:r w:rsidRPr="009E647E">
        <w:rPr>
          <w:rFonts w:eastAsia="Century Gothic" w:cs="Century Gothic"/>
          <w:i/>
          <w:iCs/>
          <w:color w:val="auto"/>
          <w:sz w:val="24"/>
          <w:szCs w:val="22"/>
          <w:lang w:val="en-AU" w:bidi="en-AU"/>
        </w:rPr>
        <w:t>land;</w:t>
      </w:r>
      <w:proofErr w:type="gramEnd"/>
      <w:r w:rsidRPr="009E647E">
        <w:rPr>
          <w:rFonts w:eastAsia="Century Gothic" w:cs="Century Gothic"/>
          <w:i/>
          <w:iCs/>
          <w:color w:val="auto"/>
          <w:sz w:val="24"/>
          <w:szCs w:val="22"/>
          <w:lang w:val="en-AU" w:bidi="en-AU"/>
        </w:rPr>
        <w:t xml:space="preserve"> </w:t>
      </w:r>
    </w:p>
    <w:p w14:paraId="60681861" w14:textId="77777777" w:rsidR="0079036C" w:rsidRPr="009E647E" w:rsidRDefault="0079036C" w:rsidP="0079036C">
      <w:pPr>
        <w:pStyle w:val="Bullet1"/>
        <w:numPr>
          <w:ilvl w:val="0"/>
          <w:numId w:val="0"/>
        </w:numPr>
        <w:jc w:val="both"/>
        <w:rPr>
          <w:rFonts w:eastAsia="Century Gothic" w:cs="Century Gothic"/>
          <w:i/>
          <w:iCs/>
          <w:color w:val="auto"/>
          <w:sz w:val="24"/>
          <w:szCs w:val="22"/>
          <w:lang w:val="en-AU" w:bidi="en-AU"/>
        </w:rPr>
      </w:pPr>
      <w:r w:rsidRPr="009E647E">
        <w:rPr>
          <w:rFonts w:eastAsia="Century Gothic" w:cs="Century Gothic"/>
          <w:i/>
          <w:iCs/>
          <w:color w:val="auto"/>
          <w:sz w:val="24"/>
          <w:szCs w:val="22"/>
          <w:lang w:val="en-AU" w:bidi="en-AU"/>
        </w:rPr>
        <w:t xml:space="preserve">(c) secure a pleasant, efficient and safe, work, living and recreational environment for all Victorians and visitors to </w:t>
      </w:r>
      <w:proofErr w:type="gramStart"/>
      <w:r w:rsidRPr="009E647E">
        <w:rPr>
          <w:rFonts w:eastAsia="Century Gothic" w:cs="Century Gothic"/>
          <w:i/>
          <w:iCs/>
          <w:color w:val="auto"/>
          <w:sz w:val="24"/>
          <w:szCs w:val="22"/>
          <w:lang w:val="en-AU" w:bidi="en-AU"/>
        </w:rPr>
        <w:t>Victoria;</w:t>
      </w:r>
      <w:proofErr w:type="gramEnd"/>
      <w:r w:rsidRPr="009E647E">
        <w:rPr>
          <w:rFonts w:eastAsia="Century Gothic" w:cs="Century Gothic"/>
          <w:i/>
          <w:iCs/>
          <w:color w:val="auto"/>
          <w:sz w:val="24"/>
          <w:szCs w:val="22"/>
          <w:lang w:val="en-AU" w:bidi="en-AU"/>
        </w:rPr>
        <w:t xml:space="preserve"> </w:t>
      </w:r>
    </w:p>
    <w:p w14:paraId="147C1EC0" w14:textId="77777777" w:rsidR="0079036C" w:rsidRPr="009E647E" w:rsidRDefault="0079036C" w:rsidP="0079036C">
      <w:pPr>
        <w:pStyle w:val="Bullet1"/>
        <w:numPr>
          <w:ilvl w:val="0"/>
          <w:numId w:val="0"/>
        </w:numPr>
        <w:jc w:val="both"/>
        <w:rPr>
          <w:rFonts w:eastAsia="Century Gothic" w:cs="Century Gothic"/>
          <w:i/>
          <w:iCs/>
          <w:color w:val="auto"/>
          <w:sz w:val="24"/>
          <w:szCs w:val="22"/>
          <w:lang w:val="en-AU" w:bidi="en-AU"/>
        </w:rPr>
      </w:pPr>
      <w:r w:rsidRPr="009E647E">
        <w:rPr>
          <w:rFonts w:eastAsia="Century Gothic" w:cs="Century Gothic"/>
          <w:i/>
          <w:iCs/>
          <w:color w:val="auto"/>
          <w:sz w:val="24"/>
          <w:szCs w:val="22"/>
          <w:lang w:val="en-AU" w:bidi="en-AU"/>
        </w:rPr>
        <w:t>(f) facilitate development in accordance with the objectives set on (a), (c) and (e</w:t>
      </w:r>
      <w:proofErr w:type="gramStart"/>
      <w:r w:rsidRPr="009E647E">
        <w:rPr>
          <w:rFonts w:eastAsia="Century Gothic" w:cs="Century Gothic"/>
          <w:i/>
          <w:iCs/>
          <w:color w:val="auto"/>
          <w:sz w:val="24"/>
          <w:szCs w:val="22"/>
          <w:lang w:val="en-AU" w:bidi="en-AU"/>
        </w:rPr>
        <w:t>);</w:t>
      </w:r>
      <w:proofErr w:type="gramEnd"/>
    </w:p>
    <w:p w14:paraId="78B47999" w14:textId="77777777" w:rsidR="0079036C" w:rsidRPr="009E647E" w:rsidRDefault="0079036C" w:rsidP="0079036C">
      <w:pPr>
        <w:pStyle w:val="Bullet1"/>
        <w:numPr>
          <w:ilvl w:val="0"/>
          <w:numId w:val="0"/>
        </w:numPr>
        <w:jc w:val="both"/>
        <w:rPr>
          <w:rFonts w:eastAsia="Century Gothic" w:cs="Century Gothic"/>
          <w:i/>
          <w:iCs/>
          <w:color w:val="auto"/>
          <w:sz w:val="24"/>
          <w:szCs w:val="22"/>
          <w:lang w:val="en-AU" w:bidi="en-AU"/>
        </w:rPr>
      </w:pPr>
      <w:r w:rsidRPr="009E647E">
        <w:rPr>
          <w:rFonts w:eastAsia="Century Gothic" w:cs="Century Gothic"/>
          <w:i/>
          <w:iCs/>
          <w:color w:val="auto"/>
          <w:sz w:val="24"/>
          <w:szCs w:val="22"/>
          <w:lang w:val="en-AU" w:bidi="en-AU"/>
        </w:rPr>
        <w:t>(fa) to facilitate the provision of affordable housing in Victoria; and</w:t>
      </w:r>
    </w:p>
    <w:p w14:paraId="3EA9D838" w14:textId="77777777" w:rsidR="0079036C" w:rsidRPr="009E647E" w:rsidRDefault="0079036C" w:rsidP="0079036C">
      <w:pPr>
        <w:pStyle w:val="Bullet1"/>
        <w:numPr>
          <w:ilvl w:val="0"/>
          <w:numId w:val="0"/>
        </w:numPr>
        <w:jc w:val="both"/>
        <w:rPr>
          <w:rFonts w:eastAsia="Century Gothic" w:cs="Century Gothic"/>
          <w:i/>
          <w:iCs/>
          <w:color w:val="auto"/>
          <w:sz w:val="24"/>
          <w:szCs w:val="22"/>
          <w:lang w:val="en-AU" w:bidi="en-AU"/>
        </w:rPr>
      </w:pPr>
      <w:r w:rsidRPr="009E647E">
        <w:rPr>
          <w:rFonts w:eastAsia="Century Gothic" w:cs="Century Gothic"/>
          <w:i/>
          <w:iCs/>
          <w:color w:val="auto"/>
          <w:sz w:val="24"/>
          <w:szCs w:val="22"/>
          <w:lang w:val="en-AU" w:bidi="en-AU"/>
        </w:rPr>
        <w:t>(g) balance the present and future needs of Victorians.</w:t>
      </w:r>
    </w:p>
    <w:p w14:paraId="6B1AABE8" w14:textId="65AB9172" w:rsidR="00110C31" w:rsidRDefault="0079036C" w:rsidP="00C016CC">
      <w:r w:rsidRPr="00942BDB">
        <w:t>Leongatha currently has an under supply of land suitable for residential subdivision and housing development</w:t>
      </w:r>
      <w:r w:rsidR="00152535">
        <w:t xml:space="preserve"> -estimated in 2022 at approximately seven to nine years supply (Ethos Urban Pty Ltd 2022). </w:t>
      </w:r>
      <w:r w:rsidRPr="00942BDB">
        <w:t xml:space="preserve">The subject land is inside the township boundary, adjoins existing residential development, has a landform suitable for economically viable development and </w:t>
      </w:r>
      <w:r w:rsidR="00DB58D2" w:rsidRPr="00942BDB">
        <w:t>will generate economic activity for the township. Development constraints on the land</w:t>
      </w:r>
      <w:r w:rsidR="00777A17">
        <w:t>, such as potential flooding,</w:t>
      </w:r>
      <w:r w:rsidR="00DB58D2" w:rsidRPr="00942BDB">
        <w:t xml:space="preserve"> can be managed without adverse consequences through planning permit conditions, restrictions on title and building construction standards in relation to noise. The proposal satisfies the </w:t>
      </w:r>
      <w:r w:rsidR="00930A4A">
        <w:t>o</w:t>
      </w:r>
      <w:r w:rsidR="00DB58D2" w:rsidRPr="00942BDB">
        <w:t xml:space="preserve">bjectives of planning in Victoria. </w:t>
      </w:r>
    </w:p>
    <w:p w14:paraId="01F7C132" w14:textId="77777777" w:rsidR="00110C31" w:rsidRDefault="00110C31">
      <w:pPr>
        <w:widowControl/>
        <w:autoSpaceDE/>
        <w:autoSpaceDN/>
        <w:spacing w:before="0" w:after="200"/>
      </w:pPr>
      <w:r>
        <w:br w:type="page"/>
      </w:r>
    </w:p>
    <w:p w14:paraId="3F421850" w14:textId="77777777" w:rsidR="00930A4A" w:rsidRDefault="00930A4A" w:rsidP="00C016CC"/>
    <w:p w14:paraId="120A8F70" w14:textId="2295E263" w:rsidR="00A15C2E" w:rsidRDefault="00A15C2E" w:rsidP="006A19B5">
      <w:pPr>
        <w:pStyle w:val="Heading3"/>
      </w:pPr>
      <w:r>
        <w:t>How does the amendment address any environmental, social and economic effects?</w:t>
      </w:r>
    </w:p>
    <w:p w14:paraId="7BEB16B4" w14:textId="22A21D23" w:rsidR="00DB58D2" w:rsidRPr="00152535" w:rsidRDefault="00A15C2E" w:rsidP="00152535">
      <w:pPr>
        <w:pStyle w:val="Bulletlist"/>
        <w:numPr>
          <w:ilvl w:val="0"/>
          <w:numId w:val="0"/>
        </w:numPr>
        <w:ind w:left="360"/>
        <w:rPr>
          <w:u w:val="single"/>
        </w:rPr>
      </w:pPr>
      <w:r w:rsidRPr="00152535">
        <w:rPr>
          <w:u w:val="single"/>
        </w:rPr>
        <w:t>Environmental</w:t>
      </w:r>
    </w:p>
    <w:p w14:paraId="213EF58F" w14:textId="77777777" w:rsidR="00A3108A" w:rsidRDefault="00A3108A" w:rsidP="00DB58D2">
      <w:pPr>
        <w:pStyle w:val="Bulletlist"/>
        <w:numPr>
          <w:ilvl w:val="0"/>
          <w:numId w:val="0"/>
        </w:numPr>
        <w:ind w:left="360"/>
      </w:pPr>
    </w:p>
    <w:p w14:paraId="1CB77C12" w14:textId="6794838A" w:rsidR="00172C86" w:rsidRPr="00172C86" w:rsidRDefault="00172C86" w:rsidP="00DB58D2">
      <w:pPr>
        <w:pStyle w:val="Bulletlist"/>
        <w:numPr>
          <w:ilvl w:val="0"/>
          <w:numId w:val="0"/>
        </w:numPr>
        <w:ind w:left="360"/>
      </w:pPr>
      <w:r>
        <w:t xml:space="preserve">The proposed amendment </w:t>
      </w:r>
      <w:r w:rsidR="00EB395A">
        <w:t xml:space="preserve">has considered </w:t>
      </w:r>
      <w:proofErr w:type="gramStart"/>
      <w:r w:rsidR="00EB395A">
        <w:t>all of</w:t>
      </w:r>
      <w:proofErr w:type="gramEnd"/>
      <w:r w:rsidR="00EB395A">
        <w:t xml:space="preserve"> the environmental elements of the site</w:t>
      </w:r>
      <w:r w:rsidR="00110C31">
        <w:t>.</w:t>
      </w:r>
    </w:p>
    <w:p w14:paraId="27DC7B72" w14:textId="77777777" w:rsidR="00EB395A" w:rsidRDefault="00EB395A" w:rsidP="00DB58D2">
      <w:pPr>
        <w:pStyle w:val="Bulletlist"/>
        <w:numPr>
          <w:ilvl w:val="0"/>
          <w:numId w:val="0"/>
        </w:numPr>
        <w:ind w:left="360"/>
      </w:pPr>
    </w:p>
    <w:p w14:paraId="169F365D" w14:textId="1BBF9E5F" w:rsidR="00EB395A" w:rsidRDefault="00DB58D2" w:rsidP="00DB58D2">
      <w:pPr>
        <w:pStyle w:val="Bulletlist"/>
        <w:numPr>
          <w:ilvl w:val="0"/>
          <w:numId w:val="0"/>
        </w:numPr>
        <w:ind w:left="360"/>
      </w:pPr>
      <w:r w:rsidRPr="00942BDB">
        <w:t>A Biodiversity Assessment has been undertaken in support of the planning scheme amendment to consider the existing flora and fauna within the subject site. Some native vegetation planted by landowners</w:t>
      </w:r>
      <w:r w:rsidR="00110C31">
        <w:t xml:space="preserve">, and some natural regrowth, </w:t>
      </w:r>
      <w:r w:rsidRPr="00942BDB">
        <w:t xml:space="preserve">will require removal however </w:t>
      </w:r>
      <w:proofErr w:type="gramStart"/>
      <w:r w:rsidRPr="00942BDB">
        <w:t>the majority of</w:t>
      </w:r>
      <w:proofErr w:type="gramEnd"/>
      <w:r w:rsidRPr="00942BDB">
        <w:t xml:space="preserve"> the land is cleared agricultural land which is highly modified by agricultural production and has limited ecological value. </w:t>
      </w:r>
    </w:p>
    <w:p w14:paraId="32667F45" w14:textId="77777777" w:rsidR="00EB395A" w:rsidRDefault="00EB395A" w:rsidP="00DB58D2">
      <w:pPr>
        <w:pStyle w:val="Bulletlist"/>
        <w:numPr>
          <w:ilvl w:val="0"/>
          <w:numId w:val="0"/>
        </w:numPr>
        <w:ind w:left="360"/>
      </w:pPr>
    </w:p>
    <w:p w14:paraId="7AC3F1C4" w14:textId="2A559DA4" w:rsidR="00DB58D2" w:rsidRPr="00942BDB" w:rsidRDefault="00DB58D2" w:rsidP="00DB58D2">
      <w:pPr>
        <w:pStyle w:val="Bulletlist"/>
        <w:numPr>
          <w:ilvl w:val="0"/>
          <w:numId w:val="0"/>
        </w:numPr>
        <w:ind w:left="360"/>
      </w:pPr>
      <w:r w:rsidRPr="00942BDB">
        <w:t xml:space="preserve">The proposal </w:t>
      </w:r>
      <w:r w:rsidR="00EB395A">
        <w:t xml:space="preserve">updates the flood mapping in accordance with data provided by the </w:t>
      </w:r>
      <w:r w:rsidR="00DB6A6E">
        <w:t xml:space="preserve">West Gippsland Catchment Management Authority and </w:t>
      </w:r>
      <w:r w:rsidRPr="00942BDB">
        <w:t xml:space="preserve">avoids development in the floodplain </w:t>
      </w:r>
      <w:r w:rsidR="008270F4">
        <w:t>(except in relation to a drainage reserve)</w:t>
      </w:r>
      <w:r w:rsidR="00172C86">
        <w:t>,</w:t>
      </w:r>
      <w:r w:rsidRPr="00942BDB">
        <w:t xml:space="preserve"> protecting the environmental qualities of the waterway.</w:t>
      </w:r>
    </w:p>
    <w:p w14:paraId="33C884C8" w14:textId="2E9AB26A" w:rsidR="00DB58D2" w:rsidRPr="00942BDB" w:rsidRDefault="00DB58D2" w:rsidP="00DB58D2">
      <w:pPr>
        <w:pStyle w:val="Bulletlist"/>
        <w:numPr>
          <w:ilvl w:val="0"/>
          <w:numId w:val="0"/>
        </w:numPr>
        <w:ind w:left="360"/>
      </w:pPr>
    </w:p>
    <w:p w14:paraId="7FBB6A77" w14:textId="08D9E598" w:rsidR="00DB58D2" w:rsidRPr="00942BDB" w:rsidRDefault="003F2383" w:rsidP="00DB58D2">
      <w:pPr>
        <w:pStyle w:val="Bulletlist"/>
        <w:numPr>
          <w:ilvl w:val="0"/>
          <w:numId w:val="0"/>
        </w:numPr>
        <w:ind w:left="360"/>
      </w:pPr>
      <w:r w:rsidRPr="00942BDB">
        <w:t xml:space="preserve">A land contamination assessment has been undertaken for the site and a </w:t>
      </w:r>
      <w:r w:rsidR="00942BDB">
        <w:t>Preliminary Risk Screening Assessment</w:t>
      </w:r>
      <w:r w:rsidR="00B81CD5">
        <w:t xml:space="preserve"> has been</w:t>
      </w:r>
      <w:r w:rsidR="00942BDB">
        <w:t xml:space="preserve"> submitted to the </w:t>
      </w:r>
      <w:r w:rsidR="006E279F">
        <w:t xml:space="preserve">Environment Protection </w:t>
      </w:r>
      <w:r w:rsidR="00D82A69">
        <w:t>Authority Victoria (</w:t>
      </w:r>
      <w:r w:rsidR="00942BDB">
        <w:t>EPA</w:t>
      </w:r>
      <w:r w:rsidR="00D82A69">
        <w:t>)</w:t>
      </w:r>
      <w:r w:rsidR="00942BDB">
        <w:t xml:space="preserve">. </w:t>
      </w:r>
      <w:r w:rsidR="00152535">
        <w:t>Council has satisfied itself that t</w:t>
      </w:r>
      <w:r w:rsidR="00942BDB">
        <w:t xml:space="preserve">he land is considered suitable for residential development. </w:t>
      </w:r>
    </w:p>
    <w:p w14:paraId="1EF8A830" w14:textId="77777777" w:rsidR="00DB58D2" w:rsidRPr="00942BDB" w:rsidRDefault="00DB58D2" w:rsidP="00DB58D2">
      <w:pPr>
        <w:pStyle w:val="Bulletlist"/>
        <w:numPr>
          <w:ilvl w:val="0"/>
          <w:numId w:val="0"/>
        </w:numPr>
        <w:ind w:left="360" w:hanging="360"/>
      </w:pPr>
    </w:p>
    <w:p w14:paraId="5FC3F383" w14:textId="2D3FD46C" w:rsidR="00A15C2E" w:rsidRPr="00152535" w:rsidRDefault="00A15C2E" w:rsidP="00152535">
      <w:pPr>
        <w:pStyle w:val="Bulletlist"/>
        <w:numPr>
          <w:ilvl w:val="0"/>
          <w:numId w:val="0"/>
        </w:numPr>
        <w:ind w:left="360"/>
        <w:rPr>
          <w:u w:val="single"/>
        </w:rPr>
      </w:pPr>
      <w:r w:rsidRPr="00152535">
        <w:rPr>
          <w:u w:val="single"/>
        </w:rPr>
        <w:t>Social</w:t>
      </w:r>
    </w:p>
    <w:p w14:paraId="67A1824D" w14:textId="77777777" w:rsidR="00A3108A" w:rsidRDefault="00A3108A" w:rsidP="00942BDB">
      <w:pPr>
        <w:pStyle w:val="Bulletlist"/>
        <w:numPr>
          <w:ilvl w:val="0"/>
          <w:numId w:val="0"/>
        </w:numPr>
        <w:ind w:left="360"/>
      </w:pPr>
    </w:p>
    <w:p w14:paraId="04C4F0C1" w14:textId="6AD71C7F" w:rsidR="00942BDB" w:rsidRPr="00942BDB" w:rsidRDefault="00942BDB" w:rsidP="00942BDB">
      <w:pPr>
        <w:pStyle w:val="Bulletlist"/>
        <w:numPr>
          <w:ilvl w:val="0"/>
          <w:numId w:val="0"/>
        </w:numPr>
        <w:ind w:left="360"/>
      </w:pPr>
      <w:r w:rsidRPr="00942BDB">
        <w:t xml:space="preserve">The </w:t>
      </w:r>
      <w:r w:rsidR="009270D7">
        <w:t xml:space="preserve">proposed </w:t>
      </w:r>
      <w:r w:rsidRPr="00942BDB">
        <w:t>development seek</w:t>
      </w:r>
      <w:r w:rsidR="00006F29">
        <w:t>s</w:t>
      </w:r>
      <w:r w:rsidRPr="00942BDB">
        <w:t xml:space="preserve"> to deliver diversity in </w:t>
      </w:r>
      <w:r w:rsidR="00006F29">
        <w:t xml:space="preserve">lot sizes and future </w:t>
      </w:r>
      <w:r w:rsidRPr="00942BDB">
        <w:t xml:space="preserve">dwelling typologies to </w:t>
      </w:r>
      <w:r w:rsidR="00006F29">
        <w:t xml:space="preserve">meet the needs of different </w:t>
      </w:r>
      <w:r w:rsidR="005B5170">
        <w:t>types of households</w:t>
      </w:r>
      <w:r w:rsidRPr="00942BDB">
        <w:t xml:space="preserve">. The </w:t>
      </w:r>
      <w:r w:rsidR="00F558C0">
        <w:t>pro</w:t>
      </w:r>
      <w:r w:rsidR="008F7B8C">
        <w:t>posed rezoning and subdivision</w:t>
      </w:r>
      <w:r w:rsidRPr="00942BDB">
        <w:t xml:space="preserve"> will attract residents to the area and promote growth within the township</w:t>
      </w:r>
      <w:r w:rsidR="008270F4">
        <w:t xml:space="preserve"> and support the retention and expansion of social and community services. </w:t>
      </w:r>
    </w:p>
    <w:p w14:paraId="5B677D1F" w14:textId="77777777" w:rsidR="00942BDB" w:rsidRPr="007B5E05" w:rsidRDefault="00942BDB" w:rsidP="00942BDB">
      <w:pPr>
        <w:pStyle w:val="Bulletlist"/>
        <w:numPr>
          <w:ilvl w:val="0"/>
          <w:numId w:val="0"/>
        </w:numPr>
        <w:ind w:left="360" w:hanging="360"/>
        <w:rPr>
          <w:color w:val="44546A" w:themeColor="text2"/>
          <w:highlight w:val="lightGray"/>
        </w:rPr>
      </w:pPr>
    </w:p>
    <w:p w14:paraId="7B61DB14" w14:textId="42BDBA17" w:rsidR="00A15C2E" w:rsidRPr="00152535" w:rsidRDefault="00A15C2E" w:rsidP="00152535">
      <w:pPr>
        <w:pStyle w:val="Bulletlist"/>
        <w:numPr>
          <w:ilvl w:val="0"/>
          <w:numId w:val="0"/>
        </w:numPr>
        <w:ind w:left="360"/>
        <w:rPr>
          <w:u w:val="single"/>
        </w:rPr>
      </w:pPr>
      <w:r w:rsidRPr="00152535">
        <w:rPr>
          <w:u w:val="single"/>
        </w:rPr>
        <w:t xml:space="preserve">Economic </w:t>
      </w:r>
    </w:p>
    <w:p w14:paraId="2F628E1C" w14:textId="77777777" w:rsidR="00A3108A" w:rsidRDefault="00A3108A" w:rsidP="00371EA6">
      <w:pPr>
        <w:pStyle w:val="Bulletlist"/>
        <w:numPr>
          <w:ilvl w:val="0"/>
          <w:numId w:val="0"/>
        </w:numPr>
        <w:ind w:left="360"/>
      </w:pPr>
    </w:p>
    <w:p w14:paraId="1D28F7F7" w14:textId="596D2294" w:rsidR="00371EA6" w:rsidRPr="00A53486" w:rsidRDefault="00371EA6" w:rsidP="00371EA6">
      <w:pPr>
        <w:pStyle w:val="Bulletlist"/>
        <w:numPr>
          <w:ilvl w:val="0"/>
          <w:numId w:val="0"/>
        </w:numPr>
        <w:ind w:left="360"/>
      </w:pPr>
      <w:r w:rsidRPr="00E01DBD">
        <w:t xml:space="preserve">The rezoning of land supports population growth within Leongatha </w:t>
      </w:r>
      <w:r w:rsidR="00CA349E">
        <w:t>and assists with overall land supply</w:t>
      </w:r>
      <w:r w:rsidRPr="00E01DBD">
        <w:t xml:space="preserve">. </w:t>
      </w:r>
      <w:r>
        <w:t xml:space="preserve">As noted within the </w:t>
      </w:r>
      <w:r w:rsidR="00B4354B">
        <w:t>l</w:t>
      </w:r>
      <w:r>
        <w:t xml:space="preserve">and </w:t>
      </w:r>
      <w:r w:rsidR="00B4354B">
        <w:t>s</w:t>
      </w:r>
      <w:r>
        <w:t xml:space="preserve">upply </w:t>
      </w:r>
      <w:r w:rsidR="00B4354B">
        <w:t>a</w:t>
      </w:r>
      <w:r>
        <w:t xml:space="preserve">ssessment, </w:t>
      </w:r>
      <w:r w:rsidRPr="00A53486">
        <w:t xml:space="preserve">additional zoned residential supply is required to ensure the residential land market continues to operate efficiently and competitively. </w:t>
      </w:r>
      <w:r>
        <w:t xml:space="preserve">The residential growth of the township will promote greater commercial and business activity within the core of the town centre. </w:t>
      </w:r>
    </w:p>
    <w:p w14:paraId="0398EF82" w14:textId="77777777" w:rsidR="00371EA6" w:rsidRPr="00942BDB" w:rsidRDefault="00371EA6" w:rsidP="00E45E6C">
      <w:pPr>
        <w:pStyle w:val="Bulletlist"/>
        <w:numPr>
          <w:ilvl w:val="0"/>
          <w:numId w:val="0"/>
        </w:numPr>
      </w:pPr>
    </w:p>
    <w:p w14:paraId="2035F846" w14:textId="77777777" w:rsidR="00A15C2E" w:rsidRDefault="00A15C2E" w:rsidP="006A19B5">
      <w:pPr>
        <w:pStyle w:val="Heading3"/>
      </w:pPr>
      <w:r>
        <w:lastRenderedPageBreak/>
        <w:t>Does the amendment address relevant bushfire risk?</w:t>
      </w:r>
    </w:p>
    <w:p w14:paraId="134937AE" w14:textId="37557BA1" w:rsidR="0057115E" w:rsidRPr="0057115E" w:rsidRDefault="0057115E" w:rsidP="0057115E">
      <w:pPr>
        <w:pStyle w:val="Bullet1"/>
        <w:numPr>
          <w:ilvl w:val="0"/>
          <w:numId w:val="0"/>
        </w:numPr>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 xml:space="preserve">The land is not affected by the Bushfire Management Overlay however it is within a designated Bushfire Prone Area. A Bushfire Management Plan has been prepared by </w:t>
      </w:r>
      <w:proofErr w:type="spellStart"/>
      <w:r w:rsidRPr="0057115E">
        <w:rPr>
          <w:rFonts w:eastAsia="Century Gothic" w:cs="Century Gothic"/>
          <w:color w:val="auto"/>
          <w:sz w:val="24"/>
          <w:szCs w:val="22"/>
          <w:lang w:val="en-AU" w:bidi="en-AU"/>
        </w:rPr>
        <w:t>Euca</w:t>
      </w:r>
      <w:proofErr w:type="spellEnd"/>
      <w:r w:rsidRPr="0057115E">
        <w:rPr>
          <w:rFonts w:eastAsia="Century Gothic" w:cs="Century Gothic"/>
          <w:color w:val="auto"/>
          <w:sz w:val="24"/>
          <w:szCs w:val="22"/>
          <w:lang w:val="en-AU" w:bidi="en-AU"/>
        </w:rPr>
        <w:t xml:space="preserve"> Planning Pty Ltd in support of the proposal and to address the requirements of Clause 13.02-1S (Bushfire Planning). </w:t>
      </w:r>
      <w:r>
        <w:rPr>
          <w:rFonts w:eastAsia="Century Gothic" w:cs="Century Gothic"/>
          <w:color w:val="auto"/>
          <w:sz w:val="24"/>
          <w:szCs w:val="22"/>
          <w:lang w:val="en-AU" w:bidi="en-AU"/>
        </w:rPr>
        <w:t xml:space="preserve">The report has been considered by the CFA and CFA planning permit conditions </w:t>
      </w:r>
      <w:r w:rsidR="00D26162">
        <w:rPr>
          <w:rFonts w:eastAsia="Century Gothic" w:cs="Century Gothic"/>
          <w:color w:val="auto"/>
          <w:sz w:val="24"/>
          <w:szCs w:val="22"/>
          <w:lang w:val="en-AU" w:bidi="en-AU"/>
        </w:rPr>
        <w:t xml:space="preserve">have been </w:t>
      </w:r>
      <w:r>
        <w:rPr>
          <w:rFonts w:eastAsia="Century Gothic" w:cs="Century Gothic"/>
          <w:color w:val="auto"/>
          <w:sz w:val="24"/>
          <w:szCs w:val="22"/>
          <w:lang w:val="en-AU" w:bidi="en-AU"/>
        </w:rPr>
        <w:t xml:space="preserve">included in the draft planning permit. </w:t>
      </w:r>
    </w:p>
    <w:p w14:paraId="7AE9CD99" w14:textId="77777777" w:rsidR="0057115E" w:rsidRPr="0057115E" w:rsidRDefault="0057115E" w:rsidP="0057115E">
      <w:pPr>
        <w:pStyle w:val="Bullet1"/>
        <w:numPr>
          <w:ilvl w:val="0"/>
          <w:numId w:val="0"/>
        </w:numPr>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 xml:space="preserve">The Bushfire Management Plan includes a bushfire hazard assessment and provides recommendations to be adopted as part of the development </w:t>
      </w:r>
      <w:proofErr w:type="gramStart"/>
      <w:r w:rsidRPr="0057115E">
        <w:rPr>
          <w:rFonts w:eastAsia="Century Gothic" w:cs="Century Gothic"/>
          <w:color w:val="auto"/>
          <w:sz w:val="24"/>
          <w:szCs w:val="22"/>
          <w:lang w:val="en-AU" w:bidi="en-AU"/>
        </w:rPr>
        <w:t>in order to</w:t>
      </w:r>
      <w:proofErr w:type="gramEnd"/>
      <w:r w:rsidRPr="0057115E">
        <w:rPr>
          <w:rFonts w:eastAsia="Century Gothic" w:cs="Century Gothic"/>
          <w:color w:val="auto"/>
          <w:sz w:val="24"/>
          <w:szCs w:val="22"/>
          <w:lang w:val="en-AU" w:bidi="en-AU"/>
        </w:rPr>
        <w:t xml:space="preserve"> manage the bushfire risk. The subdivision provides for the following design elements as outlined within the Bushfire Management Plan:</w:t>
      </w:r>
    </w:p>
    <w:p w14:paraId="76815A0B" w14:textId="77777777"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It provides an access network that facilitates connection to the broader street network.</w:t>
      </w:r>
    </w:p>
    <w:p w14:paraId="5B6854C0" w14:textId="77777777"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A boundary road exists along the northern side of the development.</w:t>
      </w:r>
    </w:p>
    <w:p w14:paraId="4C883439" w14:textId="0FE75298"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 xml:space="preserve">12.5KW/m2 </w:t>
      </w:r>
      <w:r w:rsidR="00E26B87">
        <w:rPr>
          <w:rFonts w:eastAsia="Century Gothic" w:cs="Century Gothic"/>
          <w:color w:val="auto"/>
          <w:sz w:val="24"/>
          <w:szCs w:val="22"/>
          <w:lang w:val="en-AU" w:bidi="en-AU"/>
        </w:rPr>
        <w:t xml:space="preserve">(BAL 12.5) is achieved for every lot in the proposed subdivision. </w:t>
      </w:r>
    </w:p>
    <w:p w14:paraId="20484CD2" w14:textId="77777777"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There is egress away from the immediate bushfire hazard (grassland) with easy access to an area that meets the BAL-LOW definition.</w:t>
      </w:r>
    </w:p>
    <w:p w14:paraId="10B7CD2A" w14:textId="133F93BC"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 xml:space="preserve">Opportunity exists to develop the land in </w:t>
      </w:r>
      <w:proofErr w:type="gramStart"/>
      <w:r w:rsidRPr="0057115E">
        <w:rPr>
          <w:rFonts w:eastAsia="Century Gothic" w:cs="Century Gothic"/>
          <w:color w:val="auto"/>
          <w:sz w:val="24"/>
          <w:szCs w:val="22"/>
          <w:lang w:val="en-AU" w:bidi="en-AU"/>
        </w:rPr>
        <w:t>stages, and</w:t>
      </w:r>
      <w:proofErr w:type="gramEnd"/>
      <w:r w:rsidRPr="0057115E">
        <w:rPr>
          <w:rFonts w:eastAsia="Century Gothic" w:cs="Century Gothic"/>
          <w:color w:val="auto"/>
          <w:sz w:val="24"/>
          <w:szCs w:val="22"/>
          <w:lang w:val="en-AU" w:bidi="en-AU"/>
        </w:rPr>
        <w:t xml:space="preserve"> manage the larger lots to the east.</w:t>
      </w:r>
      <w:r w:rsidR="00E45E6C">
        <w:rPr>
          <w:rFonts w:eastAsia="Century Gothic" w:cs="Century Gothic"/>
          <w:color w:val="auto"/>
          <w:sz w:val="24"/>
          <w:szCs w:val="22"/>
          <w:lang w:val="en-AU" w:bidi="en-AU"/>
        </w:rPr>
        <w:t xml:space="preserve"> Any approved staging plan will require a boundary road between a development stage and undeveloped grassland. </w:t>
      </w:r>
    </w:p>
    <w:p w14:paraId="7646728F" w14:textId="77777777"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Landscaping and future management by Council of the basin reserve can be undertaken to not introduce fire threat to the settlement.</w:t>
      </w:r>
    </w:p>
    <w:p w14:paraId="07A5E1E5" w14:textId="6383C96B" w:rsidR="0057115E" w:rsidRPr="0057115E" w:rsidRDefault="0057115E" w:rsidP="0057115E">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57115E">
        <w:rPr>
          <w:rFonts w:eastAsia="Century Gothic" w:cs="Century Gothic"/>
          <w:color w:val="auto"/>
          <w:sz w:val="24"/>
          <w:szCs w:val="22"/>
          <w:lang w:val="en-AU" w:bidi="en-AU"/>
        </w:rPr>
        <w:t xml:space="preserve">A </w:t>
      </w:r>
      <w:r>
        <w:rPr>
          <w:rFonts w:eastAsia="Century Gothic" w:cs="Century Gothic"/>
          <w:color w:val="auto"/>
          <w:sz w:val="24"/>
          <w:szCs w:val="22"/>
          <w:lang w:val="en-AU" w:bidi="en-AU"/>
        </w:rPr>
        <w:t>draft waterway management plan has been prepared for the land affected by inundation</w:t>
      </w:r>
      <w:r w:rsidR="00F6199C">
        <w:rPr>
          <w:rFonts w:eastAsia="Century Gothic" w:cs="Century Gothic"/>
          <w:color w:val="auto"/>
          <w:sz w:val="24"/>
          <w:szCs w:val="22"/>
          <w:lang w:val="en-AU" w:bidi="en-AU"/>
        </w:rPr>
        <w:t>, including</w:t>
      </w:r>
      <w:r>
        <w:rPr>
          <w:rFonts w:eastAsia="Century Gothic" w:cs="Century Gothic"/>
          <w:color w:val="auto"/>
          <w:sz w:val="24"/>
          <w:szCs w:val="22"/>
          <w:lang w:val="en-AU" w:bidi="en-AU"/>
        </w:rPr>
        <w:t xml:space="preserve"> the </w:t>
      </w:r>
      <w:r w:rsidR="008270F4">
        <w:rPr>
          <w:rFonts w:eastAsia="Century Gothic" w:cs="Century Gothic"/>
          <w:color w:val="auto"/>
          <w:sz w:val="24"/>
          <w:szCs w:val="22"/>
          <w:lang w:val="en-AU" w:bidi="en-AU"/>
        </w:rPr>
        <w:t>proposed</w:t>
      </w:r>
      <w:r>
        <w:rPr>
          <w:rFonts w:eastAsia="Century Gothic" w:cs="Century Gothic"/>
          <w:color w:val="auto"/>
          <w:sz w:val="24"/>
          <w:szCs w:val="22"/>
          <w:lang w:val="en-AU" w:bidi="en-AU"/>
        </w:rPr>
        <w:t xml:space="preserve"> council drainage reserve, which </w:t>
      </w:r>
      <w:r w:rsidR="00F6199C">
        <w:rPr>
          <w:rFonts w:eastAsia="Century Gothic" w:cs="Century Gothic"/>
          <w:color w:val="auto"/>
          <w:sz w:val="24"/>
          <w:szCs w:val="22"/>
          <w:lang w:val="en-AU" w:bidi="en-AU"/>
        </w:rPr>
        <w:t xml:space="preserve">has plantings of species, and at a density, that minimise bushfire risk. </w:t>
      </w:r>
    </w:p>
    <w:p w14:paraId="01D7D11B" w14:textId="339FF79F" w:rsidR="0057115E" w:rsidRDefault="0057115E" w:rsidP="0057115E">
      <w:pPr>
        <w:pStyle w:val="Heading2"/>
        <w:spacing w:before="240"/>
        <w:rPr>
          <w:b w:val="0"/>
          <w:bCs w:val="0"/>
          <w:sz w:val="24"/>
        </w:rPr>
      </w:pPr>
      <w:r w:rsidRPr="00F6199C">
        <w:rPr>
          <w:b w:val="0"/>
          <w:bCs w:val="0"/>
          <w:sz w:val="24"/>
        </w:rPr>
        <w:t xml:space="preserve">Through the implementation of the above measures and the standard bushfire conditions to be applied to the planning permit, the report concludes that no further modification of the proposed subdivision layout is required. The proposal adequately responds to the bushfire considerations of the South Gippsland Planning Scheme and does not increase the risk of bushfire to the </w:t>
      </w:r>
      <w:r w:rsidR="00E45E6C">
        <w:rPr>
          <w:b w:val="0"/>
          <w:bCs w:val="0"/>
          <w:sz w:val="24"/>
        </w:rPr>
        <w:t>t</w:t>
      </w:r>
      <w:r w:rsidRPr="00F6199C">
        <w:rPr>
          <w:b w:val="0"/>
          <w:bCs w:val="0"/>
          <w:sz w:val="24"/>
        </w:rPr>
        <w:t>ownship.</w:t>
      </w:r>
      <w:r w:rsidR="00F6199C">
        <w:rPr>
          <w:b w:val="0"/>
          <w:bCs w:val="0"/>
          <w:sz w:val="24"/>
        </w:rPr>
        <w:t xml:space="preserve"> </w:t>
      </w:r>
    </w:p>
    <w:p w14:paraId="77EC5BB9" w14:textId="607E3CE6" w:rsidR="00A15C2E" w:rsidRDefault="00A15C2E" w:rsidP="009F1201">
      <w:pPr>
        <w:pStyle w:val="Heading3"/>
      </w:pPr>
      <w:r>
        <w:t xml:space="preserve">Does the amendment comply with the requirements of any </w:t>
      </w:r>
      <w:r w:rsidR="00E1295A">
        <w:t xml:space="preserve">other </w:t>
      </w:r>
      <w:r>
        <w:t>Minister’s Direction applicable to the amendment?</w:t>
      </w:r>
    </w:p>
    <w:p w14:paraId="38CFBD33" w14:textId="77777777" w:rsidR="0002080B" w:rsidRDefault="00F6199C" w:rsidP="00296A6E">
      <w:pPr>
        <w:pStyle w:val="Heading2"/>
        <w:numPr>
          <w:ilvl w:val="0"/>
          <w:numId w:val="27"/>
        </w:numPr>
        <w:spacing w:before="240"/>
        <w:rPr>
          <w:b w:val="0"/>
          <w:bCs w:val="0"/>
          <w:sz w:val="24"/>
        </w:rPr>
      </w:pPr>
      <w:r w:rsidRPr="00F6199C">
        <w:rPr>
          <w:b w:val="0"/>
          <w:bCs w:val="0"/>
          <w:sz w:val="24"/>
        </w:rPr>
        <w:t xml:space="preserve">The amendment </w:t>
      </w:r>
      <w:r w:rsidR="00D42C2E">
        <w:rPr>
          <w:b w:val="0"/>
          <w:bCs w:val="0"/>
          <w:sz w:val="24"/>
        </w:rPr>
        <w:t>complies</w:t>
      </w:r>
      <w:r w:rsidRPr="00F6199C">
        <w:rPr>
          <w:b w:val="0"/>
          <w:bCs w:val="0"/>
          <w:sz w:val="24"/>
        </w:rPr>
        <w:t xml:space="preserve"> with the </w:t>
      </w:r>
      <w:r w:rsidRPr="00152535">
        <w:rPr>
          <w:b w:val="0"/>
          <w:bCs w:val="0"/>
          <w:i/>
          <w:iCs/>
          <w:sz w:val="24"/>
        </w:rPr>
        <w:t>Ministerial Direction on the Form and Content of Planning Schemes</w:t>
      </w:r>
      <w:r w:rsidRPr="00F6199C">
        <w:rPr>
          <w:b w:val="0"/>
          <w:bCs w:val="0"/>
          <w:sz w:val="24"/>
        </w:rPr>
        <w:t xml:space="preserve"> under Section 7(5) of the Act and </w:t>
      </w:r>
      <w:r w:rsidRPr="007E1F95">
        <w:rPr>
          <w:b w:val="0"/>
          <w:bCs w:val="0"/>
          <w:i/>
          <w:iCs/>
          <w:sz w:val="24"/>
        </w:rPr>
        <w:t>Ministerial Direction No.11 – Strategic Assessment of Amendments</w:t>
      </w:r>
      <w:r w:rsidRPr="00F6199C">
        <w:rPr>
          <w:b w:val="0"/>
          <w:bCs w:val="0"/>
          <w:sz w:val="24"/>
        </w:rPr>
        <w:t xml:space="preserve"> under Section 12(2)(a) of the Act. </w:t>
      </w:r>
    </w:p>
    <w:p w14:paraId="2BB55D2C" w14:textId="2285D637" w:rsidR="00F6199C" w:rsidRPr="00F6199C" w:rsidRDefault="0002080B" w:rsidP="0002080B">
      <w:pPr>
        <w:pStyle w:val="Heading2"/>
        <w:spacing w:before="240"/>
        <w:ind w:left="720"/>
        <w:rPr>
          <w:b w:val="0"/>
          <w:bCs w:val="0"/>
          <w:sz w:val="24"/>
        </w:rPr>
      </w:pPr>
      <w:r>
        <w:rPr>
          <w:b w:val="0"/>
          <w:bCs w:val="0"/>
          <w:sz w:val="24"/>
        </w:rPr>
        <w:t xml:space="preserve">The </w:t>
      </w:r>
      <w:r w:rsidR="00F35472">
        <w:rPr>
          <w:b w:val="0"/>
          <w:bCs w:val="0"/>
          <w:sz w:val="24"/>
        </w:rPr>
        <w:t>a</w:t>
      </w:r>
      <w:r>
        <w:rPr>
          <w:b w:val="0"/>
          <w:bCs w:val="0"/>
          <w:sz w:val="24"/>
        </w:rPr>
        <w:t>mendment</w:t>
      </w:r>
      <w:r w:rsidR="005919EC">
        <w:rPr>
          <w:b w:val="0"/>
          <w:bCs w:val="0"/>
          <w:sz w:val="24"/>
        </w:rPr>
        <w:t xml:space="preserve"> has been prepared </w:t>
      </w:r>
      <w:r w:rsidR="004764DB">
        <w:rPr>
          <w:b w:val="0"/>
          <w:bCs w:val="0"/>
          <w:sz w:val="24"/>
        </w:rPr>
        <w:t xml:space="preserve">in the correct form and content outlined within the direction and adequate strategic justification for the amendment has </w:t>
      </w:r>
      <w:r w:rsidR="007A7550">
        <w:rPr>
          <w:b w:val="0"/>
          <w:bCs w:val="0"/>
          <w:sz w:val="24"/>
        </w:rPr>
        <w:lastRenderedPageBreak/>
        <w:t>been provided, as outlined earlier within this report.</w:t>
      </w:r>
      <w:r w:rsidR="004764DB">
        <w:rPr>
          <w:b w:val="0"/>
          <w:bCs w:val="0"/>
          <w:sz w:val="24"/>
        </w:rPr>
        <w:t xml:space="preserve"> </w:t>
      </w:r>
      <w:r>
        <w:rPr>
          <w:b w:val="0"/>
          <w:bCs w:val="0"/>
          <w:sz w:val="24"/>
        </w:rPr>
        <w:t xml:space="preserve"> </w:t>
      </w:r>
    </w:p>
    <w:p w14:paraId="66CA18FB" w14:textId="428824AF" w:rsidR="00F6199C" w:rsidRDefault="00F6199C" w:rsidP="00296A6E">
      <w:pPr>
        <w:pStyle w:val="Heading2"/>
        <w:spacing w:before="240"/>
        <w:ind w:left="720"/>
        <w:rPr>
          <w:b w:val="0"/>
          <w:bCs w:val="0"/>
          <w:sz w:val="24"/>
        </w:rPr>
      </w:pPr>
      <w:r w:rsidRPr="00F6199C">
        <w:rPr>
          <w:b w:val="0"/>
          <w:bCs w:val="0"/>
          <w:sz w:val="24"/>
        </w:rPr>
        <w:t xml:space="preserve">The amendment </w:t>
      </w:r>
      <w:r w:rsidR="00D42C2E">
        <w:rPr>
          <w:b w:val="0"/>
          <w:bCs w:val="0"/>
          <w:sz w:val="24"/>
        </w:rPr>
        <w:t>complies</w:t>
      </w:r>
      <w:r w:rsidRPr="00F6199C">
        <w:rPr>
          <w:b w:val="0"/>
          <w:bCs w:val="0"/>
          <w:sz w:val="24"/>
        </w:rPr>
        <w:t xml:space="preserve"> with </w:t>
      </w:r>
      <w:r w:rsidRPr="007E1F95">
        <w:rPr>
          <w:b w:val="0"/>
          <w:bCs w:val="0"/>
          <w:sz w:val="24"/>
        </w:rPr>
        <w:t xml:space="preserve">Direction No. 1 </w:t>
      </w:r>
      <w:r w:rsidRPr="0061464A">
        <w:rPr>
          <w:b w:val="0"/>
          <w:bCs w:val="0"/>
          <w:i/>
          <w:iCs/>
          <w:sz w:val="24"/>
        </w:rPr>
        <w:t>Potentially Contaminated Land</w:t>
      </w:r>
      <w:r w:rsidRPr="00F6199C">
        <w:rPr>
          <w:b w:val="0"/>
          <w:bCs w:val="0"/>
          <w:sz w:val="24"/>
        </w:rPr>
        <w:t xml:space="preserve">. </w:t>
      </w:r>
      <w:r w:rsidRPr="00D42C2E">
        <w:rPr>
          <w:b w:val="0"/>
          <w:bCs w:val="0"/>
          <w:sz w:val="24"/>
        </w:rPr>
        <w:t xml:space="preserve">An Environmental </w:t>
      </w:r>
      <w:r w:rsidR="00D42C2E">
        <w:rPr>
          <w:b w:val="0"/>
          <w:bCs w:val="0"/>
          <w:sz w:val="24"/>
        </w:rPr>
        <w:t>Site</w:t>
      </w:r>
      <w:r w:rsidRPr="00D42C2E">
        <w:rPr>
          <w:b w:val="0"/>
          <w:bCs w:val="0"/>
          <w:sz w:val="24"/>
        </w:rPr>
        <w:t xml:space="preserve"> Assessment </w:t>
      </w:r>
      <w:r w:rsidR="00D42C2E">
        <w:rPr>
          <w:b w:val="0"/>
          <w:bCs w:val="0"/>
          <w:sz w:val="24"/>
        </w:rPr>
        <w:t>(Atma Environmental</w:t>
      </w:r>
      <w:r w:rsidR="006D6940">
        <w:rPr>
          <w:b w:val="0"/>
          <w:bCs w:val="0"/>
          <w:sz w:val="24"/>
        </w:rPr>
        <w:t>,</w:t>
      </w:r>
      <w:r w:rsidR="00D42C2E">
        <w:rPr>
          <w:b w:val="0"/>
          <w:bCs w:val="0"/>
          <w:sz w:val="24"/>
        </w:rPr>
        <w:t xml:space="preserve"> May 2022) </w:t>
      </w:r>
      <w:r w:rsidR="00D42C2E" w:rsidRPr="00D42C2E">
        <w:rPr>
          <w:b w:val="0"/>
          <w:bCs w:val="0"/>
          <w:sz w:val="24"/>
        </w:rPr>
        <w:t xml:space="preserve">and a preliminary risk screening assessment </w:t>
      </w:r>
      <w:r w:rsidR="00D42C2E">
        <w:rPr>
          <w:b w:val="0"/>
          <w:bCs w:val="0"/>
          <w:sz w:val="24"/>
        </w:rPr>
        <w:t>(EHS Support</w:t>
      </w:r>
      <w:r w:rsidR="006D6940">
        <w:rPr>
          <w:b w:val="0"/>
          <w:bCs w:val="0"/>
          <w:sz w:val="24"/>
        </w:rPr>
        <w:t>,</w:t>
      </w:r>
      <w:r w:rsidR="00D42C2E">
        <w:rPr>
          <w:b w:val="0"/>
          <w:bCs w:val="0"/>
          <w:sz w:val="24"/>
        </w:rPr>
        <w:t xml:space="preserve"> August 2023) </w:t>
      </w:r>
      <w:r w:rsidR="00D42C2E" w:rsidRPr="00D42C2E">
        <w:rPr>
          <w:b w:val="0"/>
          <w:bCs w:val="0"/>
          <w:sz w:val="24"/>
        </w:rPr>
        <w:t xml:space="preserve">have been undertaken and determined that the land is suitable for a sensitive land use (residential development) and that an Environmental Audit is not required. </w:t>
      </w:r>
      <w:r w:rsidR="00C73924">
        <w:rPr>
          <w:b w:val="0"/>
          <w:bCs w:val="0"/>
          <w:sz w:val="24"/>
        </w:rPr>
        <w:t>The EPA was consulted and provided recommendations to Council in the preparation of the amendment</w:t>
      </w:r>
      <w:r w:rsidR="006D6940">
        <w:rPr>
          <w:b w:val="0"/>
          <w:bCs w:val="0"/>
          <w:sz w:val="24"/>
        </w:rPr>
        <w:t xml:space="preserve"> and the planning permit</w:t>
      </w:r>
      <w:r w:rsidR="00C73924">
        <w:rPr>
          <w:b w:val="0"/>
          <w:bCs w:val="0"/>
          <w:sz w:val="24"/>
        </w:rPr>
        <w:t xml:space="preserve">. </w:t>
      </w:r>
    </w:p>
    <w:p w14:paraId="218963F6" w14:textId="2BADDBD4" w:rsidR="00296A6E" w:rsidRPr="00296A6E" w:rsidRDefault="00296A6E" w:rsidP="00296A6E">
      <w:pPr>
        <w:pStyle w:val="ListParagraph"/>
        <w:numPr>
          <w:ilvl w:val="0"/>
          <w:numId w:val="27"/>
        </w:numPr>
        <w:spacing w:before="0"/>
      </w:pPr>
      <w:r w:rsidRPr="00296A6E">
        <w:t xml:space="preserve">The amendment complies with </w:t>
      </w:r>
      <w:r w:rsidRPr="007E1F95">
        <w:rPr>
          <w:i/>
          <w:iCs/>
        </w:rPr>
        <w:t xml:space="preserve">Direction No 15 – </w:t>
      </w:r>
      <w:r w:rsidR="00F927C7">
        <w:rPr>
          <w:i/>
          <w:iCs/>
        </w:rPr>
        <w:t>T</w:t>
      </w:r>
      <w:r w:rsidRPr="007E1F95">
        <w:rPr>
          <w:i/>
          <w:iCs/>
        </w:rPr>
        <w:t xml:space="preserve">he </w:t>
      </w:r>
      <w:r w:rsidR="00F927C7">
        <w:rPr>
          <w:i/>
          <w:iCs/>
        </w:rPr>
        <w:t>P</w:t>
      </w:r>
      <w:r w:rsidRPr="007E1F95">
        <w:rPr>
          <w:i/>
          <w:iCs/>
        </w:rPr>
        <w:t xml:space="preserve">lanning </w:t>
      </w:r>
      <w:r w:rsidR="00F927C7">
        <w:rPr>
          <w:i/>
          <w:iCs/>
        </w:rPr>
        <w:t>S</w:t>
      </w:r>
      <w:r w:rsidRPr="007E1F95">
        <w:rPr>
          <w:i/>
          <w:iCs/>
        </w:rPr>
        <w:t xml:space="preserve">cheme </w:t>
      </w:r>
      <w:r w:rsidR="00F927C7">
        <w:rPr>
          <w:i/>
          <w:iCs/>
        </w:rPr>
        <w:t>A</w:t>
      </w:r>
      <w:r w:rsidRPr="007E1F95">
        <w:rPr>
          <w:i/>
          <w:iCs/>
        </w:rPr>
        <w:t xml:space="preserve">mendment </w:t>
      </w:r>
      <w:r w:rsidR="00F927C7">
        <w:rPr>
          <w:i/>
          <w:iCs/>
        </w:rPr>
        <w:t>P</w:t>
      </w:r>
      <w:r w:rsidRPr="007E1F95">
        <w:rPr>
          <w:i/>
          <w:iCs/>
        </w:rPr>
        <w:t>rocess</w:t>
      </w:r>
      <w:r w:rsidRPr="00296A6E">
        <w:t>.</w:t>
      </w:r>
    </w:p>
    <w:p w14:paraId="1C8BD521" w14:textId="3BB8A342" w:rsidR="00296A6E" w:rsidRPr="00296A6E" w:rsidRDefault="00F927C7" w:rsidP="00296A6E">
      <w:pPr>
        <w:ind w:left="720"/>
      </w:pPr>
      <w:r>
        <w:t xml:space="preserve">The amendment </w:t>
      </w:r>
      <w:proofErr w:type="gramStart"/>
      <w:r>
        <w:t>is able to</w:t>
      </w:r>
      <w:proofErr w:type="gramEnd"/>
      <w:r>
        <w:t xml:space="preserve"> comply with the timeframes and milestones set out in this direction.  </w:t>
      </w:r>
      <w:r w:rsidR="003C0E18">
        <w:t xml:space="preserve">Exemptions </w:t>
      </w:r>
      <w:proofErr w:type="gramStart"/>
      <w:r w:rsidR="003C0E18">
        <w:t>are able to</w:t>
      </w:r>
      <w:proofErr w:type="gramEnd"/>
      <w:r w:rsidR="003C0E18">
        <w:t xml:space="preserve"> be applied for if timeframes or milestones cannot be met.</w:t>
      </w:r>
    </w:p>
    <w:p w14:paraId="6B1CB2E4" w14:textId="2064CEC9" w:rsidR="00D71302" w:rsidRPr="007E1F95" w:rsidRDefault="00D42C2E" w:rsidP="00D71302">
      <w:pPr>
        <w:pStyle w:val="ListParagraph"/>
        <w:numPr>
          <w:ilvl w:val="0"/>
          <w:numId w:val="27"/>
        </w:numPr>
        <w:rPr>
          <w:i/>
          <w:iCs/>
        </w:rPr>
      </w:pPr>
      <w:r w:rsidRPr="00D42C2E">
        <w:t xml:space="preserve">The amendment complies with </w:t>
      </w:r>
      <w:r w:rsidRPr="007E1F95">
        <w:rPr>
          <w:i/>
          <w:iCs/>
        </w:rPr>
        <w:t>Direction No. 1</w:t>
      </w:r>
      <w:r w:rsidR="005206AE" w:rsidRPr="007E1F95">
        <w:rPr>
          <w:i/>
          <w:iCs/>
        </w:rPr>
        <w:t>9</w:t>
      </w:r>
      <w:r w:rsidRPr="007E1F95">
        <w:rPr>
          <w:i/>
          <w:iCs/>
        </w:rPr>
        <w:t xml:space="preserve"> </w:t>
      </w:r>
      <w:r w:rsidR="00CE3FE3" w:rsidRPr="007E1F95">
        <w:rPr>
          <w:i/>
          <w:iCs/>
        </w:rPr>
        <w:t>-</w:t>
      </w:r>
      <w:r w:rsidR="005206AE" w:rsidRPr="007E1F95">
        <w:rPr>
          <w:i/>
          <w:iCs/>
        </w:rPr>
        <w:t>Preparation and content of Amendments that may significantly impact the environment, amenity and human health</w:t>
      </w:r>
      <w:r w:rsidRPr="007E1F95">
        <w:rPr>
          <w:i/>
          <w:iCs/>
        </w:rPr>
        <w:t>.</w:t>
      </w:r>
      <w:r w:rsidR="005206AE" w:rsidRPr="007E1F95">
        <w:rPr>
          <w:i/>
          <w:iCs/>
        </w:rPr>
        <w:t xml:space="preserve"> </w:t>
      </w:r>
    </w:p>
    <w:p w14:paraId="1136BEBE" w14:textId="246ECC00" w:rsidR="00D42C2E" w:rsidRPr="00D42C2E" w:rsidRDefault="00D71302" w:rsidP="00D71302">
      <w:pPr>
        <w:ind w:left="720"/>
      </w:pPr>
      <w:r>
        <w:t>A</w:t>
      </w:r>
      <w:r w:rsidR="005206AE">
        <w:t xml:space="preserve">dvice </w:t>
      </w:r>
      <w:r w:rsidR="00E45E6C">
        <w:t>from</w:t>
      </w:r>
      <w:r w:rsidR="005206AE">
        <w:t xml:space="preserve"> the EPA has been received and </w:t>
      </w:r>
      <w:r w:rsidR="003C79F9">
        <w:t>amenity related cond</w:t>
      </w:r>
      <w:r w:rsidR="00CE3FE3">
        <w:t xml:space="preserve">itions have been </w:t>
      </w:r>
      <w:r w:rsidR="005206AE">
        <w:t xml:space="preserve">included in the draft planning permit. The potential amenity impacts of the bus depot adjoining the subject land can be addressed via noise attenuation construction standards for dwellings </w:t>
      </w:r>
      <w:proofErr w:type="gramStart"/>
      <w:r w:rsidR="005206AE">
        <w:t>in close proximity to</w:t>
      </w:r>
      <w:proofErr w:type="gramEnd"/>
      <w:r w:rsidR="005206AE">
        <w:t xml:space="preserve"> the depot. </w:t>
      </w:r>
    </w:p>
    <w:p w14:paraId="0222BD2B" w14:textId="77777777" w:rsidR="00A15C2E" w:rsidRDefault="00A15C2E" w:rsidP="00AA35A0">
      <w:pPr>
        <w:pStyle w:val="Heading3"/>
      </w:pPr>
      <w:r>
        <w:t>How does the amendment support or implement the Planning Policy Framework and any adopted State policy?</w:t>
      </w:r>
    </w:p>
    <w:p w14:paraId="5B287151" w14:textId="2F1AD3D3" w:rsidR="00924AAF" w:rsidRDefault="00924AAF" w:rsidP="00924AAF">
      <w:pPr>
        <w:pStyle w:val="StrategicAssessmentText"/>
        <w:ind w:left="0"/>
        <w:rPr>
          <w:rFonts w:ascii="Arial" w:eastAsia="Century Gothic" w:hAnsi="Arial" w:cs="Century Gothic"/>
          <w:szCs w:val="22"/>
          <w:lang w:bidi="en-AU"/>
        </w:rPr>
      </w:pPr>
      <w:r w:rsidRPr="00924AAF">
        <w:rPr>
          <w:rFonts w:ascii="Arial" w:eastAsia="Century Gothic" w:hAnsi="Arial" w:cs="Century Gothic"/>
          <w:szCs w:val="22"/>
          <w:lang w:bidi="en-AU"/>
        </w:rPr>
        <w:t>The amendment supports and seeks to implement the Planning Policy Framework, particularly having regard to:</w:t>
      </w:r>
    </w:p>
    <w:p w14:paraId="333D08B7" w14:textId="77777777" w:rsidR="00924AAF" w:rsidRPr="00924AAF" w:rsidRDefault="00924AAF" w:rsidP="00924AAF">
      <w:pPr>
        <w:pStyle w:val="StrategicAssessmentText"/>
        <w:ind w:left="0"/>
        <w:rPr>
          <w:rFonts w:ascii="Arial" w:eastAsia="Century Gothic" w:hAnsi="Arial" w:cs="Century Gothic"/>
          <w:szCs w:val="22"/>
          <w:lang w:bidi="en-AU"/>
        </w:rPr>
      </w:pPr>
    </w:p>
    <w:p w14:paraId="1BD16368" w14:textId="529D9221" w:rsidR="00614E3F" w:rsidRPr="00501106" w:rsidRDefault="00614E3F" w:rsidP="00501106">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11.01-1S ‘Settlement’</w:t>
      </w:r>
      <w:r w:rsidRPr="00501106">
        <w:rPr>
          <w:rFonts w:eastAsia="Century Gothic" w:cs="Century Gothic"/>
          <w:color w:val="auto"/>
          <w:sz w:val="24"/>
          <w:szCs w:val="22"/>
          <w:lang w:val="en-AU" w:bidi="en-AU"/>
        </w:rPr>
        <w:t xml:space="preserve"> and the Strategy “support sustainable development of the regional centres of Ararat, Bacchus Marsh, Bairnsdale, Benalla, Castlemaine, Colac, Echuca, Gisborne, Hamilton, Kyneton, </w:t>
      </w:r>
      <w:r w:rsidRPr="00C73924">
        <w:rPr>
          <w:rFonts w:eastAsia="Century Gothic" w:cs="Century Gothic"/>
          <w:color w:val="auto"/>
          <w:sz w:val="24"/>
          <w:szCs w:val="22"/>
          <w:u w:val="single"/>
          <w:lang w:val="en-AU" w:bidi="en-AU"/>
        </w:rPr>
        <w:t>Leongatha</w:t>
      </w:r>
      <w:r w:rsidRPr="00501106">
        <w:rPr>
          <w:rFonts w:eastAsia="Century Gothic" w:cs="Century Gothic"/>
          <w:color w:val="auto"/>
          <w:sz w:val="24"/>
          <w:szCs w:val="22"/>
          <w:lang w:val="en-AU" w:bidi="en-AU"/>
        </w:rPr>
        <w:t>, Maryborough, Portland, Sale, Swan Hill, Warragul / Drouin and Wonthaggi.”</w:t>
      </w:r>
    </w:p>
    <w:p w14:paraId="2A7BF6AC" w14:textId="6158047A" w:rsidR="00924AAF" w:rsidRPr="003017C3" w:rsidRDefault="00924AAF" w:rsidP="00501106">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11.01-1R ‘Settlement – Gippsland’</w:t>
      </w:r>
      <w:r w:rsidRPr="00924AAF">
        <w:rPr>
          <w:rFonts w:eastAsia="Century Gothic" w:cs="Century Gothic"/>
          <w:color w:val="auto"/>
          <w:sz w:val="24"/>
          <w:szCs w:val="22"/>
          <w:lang w:val="en-AU" w:bidi="en-AU"/>
        </w:rPr>
        <w:t xml:space="preserve"> </w:t>
      </w:r>
      <w:r w:rsidR="003017C3">
        <w:rPr>
          <w:rFonts w:eastAsia="Century Gothic" w:cs="Century Gothic"/>
          <w:color w:val="auto"/>
          <w:sz w:val="24"/>
          <w:szCs w:val="22"/>
          <w:lang w:val="en-AU" w:bidi="en-AU"/>
        </w:rPr>
        <w:t xml:space="preserve">and the Strategy “support urban growth in Latrobe City as Gippsland’s regional city, at Bairnsdale, </w:t>
      </w:r>
      <w:r w:rsidR="003017C3" w:rsidRPr="00501106">
        <w:rPr>
          <w:rFonts w:eastAsia="Century Gothic" w:cs="Century Gothic"/>
          <w:color w:val="auto"/>
          <w:sz w:val="24"/>
          <w:szCs w:val="22"/>
          <w:u w:val="single"/>
          <w:lang w:val="en-AU" w:bidi="en-AU"/>
        </w:rPr>
        <w:t>Leongatha</w:t>
      </w:r>
      <w:r w:rsidR="003017C3">
        <w:rPr>
          <w:rFonts w:eastAsia="Century Gothic" w:cs="Century Gothic"/>
          <w:color w:val="auto"/>
          <w:sz w:val="24"/>
          <w:szCs w:val="22"/>
          <w:lang w:val="en-AU" w:bidi="en-AU"/>
        </w:rPr>
        <w:t xml:space="preserve">, Sale, Warragul / Drouin and Wonthaggi as regional centres, and in sub- regional networks of towns”. </w:t>
      </w:r>
    </w:p>
    <w:p w14:paraId="1BC29F9F" w14:textId="5C319BB4" w:rsidR="00924AAF" w:rsidRPr="003017C3" w:rsidRDefault="00924AAF" w:rsidP="003017C3">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11.01-1L-02 ‘Leongatha’</w:t>
      </w:r>
      <w:r w:rsidRPr="00924AAF">
        <w:rPr>
          <w:rFonts w:eastAsia="Century Gothic" w:cs="Century Gothic"/>
          <w:color w:val="auto"/>
          <w:sz w:val="24"/>
          <w:szCs w:val="22"/>
          <w:lang w:val="en-AU" w:bidi="en-AU"/>
        </w:rPr>
        <w:t xml:space="preserve"> by promoting growth to the township within a designated growth area</w:t>
      </w:r>
      <w:r w:rsidR="003017C3">
        <w:rPr>
          <w:rFonts w:eastAsia="Century Gothic" w:cs="Century Gothic"/>
          <w:color w:val="auto"/>
          <w:sz w:val="24"/>
          <w:szCs w:val="22"/>
          <w:lang w:val="en-AU" w:bidi="en-AU"/>
        </w:rPr>
        <w:t xml:space="preserve"> and </w:t>
      </w:r>
      <w:r w:rsidR="00342415">
        <w:rPr>
          <w:rFonts w:eastAsia="Century Gothic" w:cs="Century Gothic"/>
          <w:color w:val="auto"/>
          <w:sz w:val="24"/>
          <w:szCs w:val="22"/>
          <w:lang w:val="en-AU" w:bidi="en-AU"/>
        </w:rPr>
        <w:t xml:space="preserve">working towards </w:t>
      </w:r>
      <w:r w:rsidR="003017C3">
        <w:rPr>
          <w:rFonts w:eastAsia="Century Gothic" w:cs="Century Gothic"/>
          <w:color w:val="auto"/>
          <w:sz w:val="24"/>
          <w:szCs w:val="22"/>
          <w:lang w:val="en-AU" w:bidi="en-AU"/>
        </w:rPr>
        <w:t xml:space="preserve">providing 15 years of residential land supply. </w:t>
      </w:r>
    </w:p>
    <w:p w14:paraId="03F225A8" w14:textId="3F37A9E8" w:rsidR="00924AAF" w:rsidRPr="003017C3" w:rsidRDefault="00924AAF" w:rsidP="003017C3">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lastRenderedPageBreak/>
        <w:t>Clause 11.01-1L-03 ‘Southern Leongatha Growth Area’</w:t>
      </w:r>
      <w:r w:rsidRPr="00924AAF">
        <w:rPr>
          <w:rFonts w:eastAsia="Century Gothic" w:cs="Century Gothic"/>
          <w:color w:val="auto"/>
          <w:sz w:val="24"/>
          <w:szCs w:val="22"/>
          <w:lang w:val="en-AU" w:bidi="en-AU"/>
        </w:rPr>
        <w:t xml:space="preserve"> by rezoning land identified in the </w:t>
      </w:r>
      <w:r w:rsidRPr="007E1F95">
        <w:rPr>
          <w:rFonts w:eastAsia="Century Gothic" w:cs="Century Gothic"/>
          <w:i/>
          <w:iCs/>
          <w:color w:val="auto"/>
          <w:sz w:val="24"/>
          <w:szCs w:val="22"/>
          <w:lang w:val="en-AU" w:bidi="en-AU"/>
        </w:rPr>
        <w:t>Southern Leongatha Outline Development Plan</w:t>
      </w:r>
      <w:r w:rsidRPr="00924AAF">
        <w:rPr>
          <w:rFonts w:eastAsia="Century Gothic" w:cs="Century Gothic"/>
          <w:color w:val="auto"/>
          <w:sz w:val="24"/>
          <w:szCs w:val="22"/>
          <w:lang w:val="en-AU" w:bidi="en-AU"/>
        </w:rPr>
        <w:t xml:space="preserve"> with the designation of </w:t>
      </w:r>
      <w:r w:rsidR="00342415">
        <w:rPr>
          <w:rFonts w:eastAsia="Century Gothic" w:cs="Century Gothic"/>
          <w:color w:val="auto"/>
          <w:sz w:val="24"/>
          <w:szCs w:val="22"/>
          <w:lang w:val="en-AU" w:bidi="en-AU"/>
        </w:rPr>
        <w:t>‘</w:t>
      </w:r>
      <w:r w:rsidRPr="00924AAF">
        <w:rPr>
          <w:rFonts w:eastAsia="Century Gothic" w:cs="Century Gothic"/>
          <w:color w:val="auto"/>
          <w:sz w:val="24"/>
          <w:szCs w:val="22"/>
          <w:lang w:val="en-AU" w:bidi="en-AU"/>
        </w:rPr>
        <w:t>future urban residential</w:t>
      </w:r>
      <w:r w:rsidR="00342415">
        <w:rPr>
          <w:rFonts w:eastAsia="Century Gothic" w:cs="Century Gothic"/>
          <w:color w:val="auto"/>
          <w:sz w:val="24"/>
          <w:szCs w:val="22"/>
          <w:lang w:val="en-AU" w:bidi="en-AU"/>
        </w:rPr>
        <w:t>’</w:t>
      </w:r>
      <w:r w:rsidRPr="00924AAF">
        <w:rPr>
          <w:rFonts w:eastAsia="Century Gothic" w:cs="Century Gothic"/>
          <w:color w:val="auto"/>
          <w:sz w:val="24"/>
          <w:szCs w:val="22"/>
          <w:lang w:val="en-AU" w:bidi="en-AU"/>
        </w:rPr>
        <w:t>.</w:t>
      </w:r>
    </w:p>
    <w:p w14:paraId="1258E578" w14:textId="27511468" w:rsidR="00924AAF" w:rsidRPr="00C73924" w:rsidRDefault="00924AAF" w:rsidP="00C73924">
      <w:pPr>
        <w:pStyle w:val="Bullet1"/>
        <w:numPr>
          <w:ilvl w:val="0"/>
          <w:numId w:val="26"/>
        </w:numPr>
        <w:tabs>
          <w:tab w:val="left" w:pos="567"/>
        </w:tabs>
        <w:ind w:left="567" w:hanging="567"/>
        <w:jc w:val="both"/>
        <w:rPr>
          <w:rFonts w:cs="Century Gothic"/>
          <w:sz w:val="24"/>
        </w:rPr>
      </w:pPr>
      <w:r w:rsidRPr="007E1F95">
        <w:rPr>
          <w:rFonts w:eastAsia="Century Gothic" w:cs="Century Gothic"/>
          <w:b/>
          <w:bCs/>
          <w:color w:val="auto"/>
          <w:sz w:val="24"/>
          <w:szCs w:val="22"/>
          <w:lang w:val="en-AU" w:bidi="en-AU"/>
        </w:rPr>
        <w:t>Clause</w:t>
      </w:r>
      <w:r w:rsidRPr="007E1F95">
        <w:rPr>
          <w:rFonts w:cs="Century Gothic"/>
          <w:b/>
          <w:bCs/>
          <w:sz w:val="24"/>
        </w:rPr>
        <w:t xml:space="preserve"> 11.02-1S ‘Supply of Urban Land’</w:t>
      </w:r>
      <w:r w:rsidRPr="00924AAF">
        <w:rPr>
          <w:rFonts w:cs="Century Gothic"/>
          <w:sz w:val="24"/>
        </w:rPr>
        <w:t xml:space="preserve"> by providing additional zoned residential supply </w:t>
      </w:r>
      <w:r w:rsidR="002426A4">
        <w:rPr>
          <w:rFonts w:cs="Century Gothic"/>
          <w:sz w:val="24"/>
        </w:rPr>
        <w:t xml:space="preserve">in Leongatha </w:t>
      </w:r>
      <w:r w:rsidRPr="00924AAF">
        <w:rPr>
          <w:rFonts w:cs="Century Gothic"/>
          <w:sz w:val="24"/>
        </w:rPr>
        <w:t>to ensure the residential land market continues to operate efficiently and competitively.</w:t>
      </w:r>
    </w:p>
    <w:p w14:paraId="2C69BE41" w14:textId="726F9641" w:rsidR="00AF4971"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11.02-3S ‘Sequencing of Development’</w:t>
      </w:r>
      <w:r w:rsidRPr="00C73924">
        <w:rPr>
          <w:rFonts w:eastAsia="Century Gothic" w:cs="Century Gothic"/>
          <w:color w:val="auto"/>
          <w:sz w:val="24"/>
          <w:szCs w:val="22"/>
          <w:lang w:val="en-AU" w:bidi="en-AU"/>
        </w:rPr>
        <w:t xml:space="preserve"> by staging the development in a coordinated manner to ensure the logical delivery of required infrastructure.</w:t>
      </w:r>
      <w:r w:rsidR="002426A4" w:rsidRPr="00C73924">
        <w:rPr>
          <w:rFonts w:eastAsia="Century Gothic" w:cs="Century Gothic"/>
          <w:color w:val="auto"/>
          <w:sz w:val="24"/>
          <w:szCs w:val="22"/>
          <w:lang w:val="en-AU" w:bidi="en-AU"/>
        </w:rPr>
        <w:t xml:space="preserve"> The subject land adjoins existing urban development and can integrate into this development </w:t>
      </w:r>
      <w:proofErr w:type="gramStart"/>
      <w:r w:rsidR="002426A4" w:rsidRPr="00C73924">
        <w:rPr>
          <w:rFonts w:eastAsia="Century Gothic" w:cs="Century Gothic"/>
          <w:color w:val="auto"/>
          <w:sz w:val="24"/>
          <w:szCs w:val="22"/>
          <w:lang w:val="en-AU" w:bidi="en-AU"/>
        </w:rPr>
        <w:t>in regards to</w:t>
      </w:r>
      <w:proofErr w:type="gramEnd"/>
      <w:r w:rsidR="002426A4" w:rsidRPr="00C73924">
        <w:rPr>
          <w:rFonts w:eastAsia="Century Gothic" w:cs="Century Gothic"/>
          <w:color w:val="auto"/>
          <w:sz w:val="24"/>
          <w:szCs w:val="22"/>
          <w:lang w:val="en-AU" w:bidi="en-AU"/>
        </w:rPr>
        <w:t xml:space="preserve"> roads, pedestrian network, development infrastructure (sewer, water, stormwater) and use of nearby open space. </w:t>
      </w:r>
    </w:p>
    <w:p w14:paraId="06DB7074" w14:textId="6861093C" w:rsidR="00AF4971" w:rsidRPr="00C73924" w:rsidRDefault="00AF4971"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12.03-1S ‘River and riparian corridors, waterways, lakes, wetlands and billabongs’</w:t>
      </w:r>
      <w:r w:rsidRPr="00C73924">
        <w:rPr>
          <w:rFonts w:eastAsia="Century Gothic" w:cs="Century Gothic"/>
          <w:color w:val="auto"/>
          <w:sz w:val="24"/>
          <w:szCs w:val="22"/>
          <w:lang w:val="en-AU" w:bidi="en-AU"/>
        </w:rPr>
        <w:t xml:space="preserve"> by protecting the Tarwin River floodplain from development and securing </w:t>
      </w:r>
      <w:proofErr w:type="gramStart"/>
      <w:r w:rsidRPr="00C73924">
        <w:rPr>
          <w:rFonts w:eastAsia="Century Gothic" w:cs="Century Gothic"/>
          <w:color w:val="auto"/>
          <w:sz w:val="24"/>
          <w:szCs w:val="22"/>
          <w:lang w:val="en-AU" w:bidi="en-AU"/>
        </w:rPr>
        <w:t xml:space="preserve">the </w:t>
      </w:r>
      <w:r w:rsidR="002D4B48" w:rsidRPr="00C73924">
        <w:rPr>
          <w:rFonts w:eastAsia="Century Gothic" w:cs="Century Gothic"/>
          <w:color w:val="auto"/>
          <w:sz w:val="24"/>
          <w:szCs w:val="22"/>
          <w:lang w:val="en-AU" w:bidi="en-AU"/>
        </w:rPr>
        <w:t>majority of</w:t>
      </w:r>
      <w:proofErr w:type="gramEnd"/>
      <w:r w:rsidR="002D4B48" w:rsidRPr="00C73924">
        <w:rPr>
          <w:rFonts w:eastAsia="Century Gothic" w:cs="Century Gothic"/>
          <w:color w:val="auto"/>
          <w:sz w:val="24"/>
          <w:szCs w:val="22"/>
          <w:lang w:val="en-AU" w:bidi="en-AU"/>
        </w:rPr>
        <w:t xml:space="preserve"> the </w:t>
      </w:r>
      <w:r w:rsidRPr="00C73924">
        <w:rPr>
          <w:rFonts w:eastAsia="Century Gothic" w:cs="Century Gothic"/>
          <w:color w:val="auto"/>
          <w:sz w:val="24"/>
          <w:szCs w:val="22"/>
          <w:lang w:val="en-AU" w:bidi="en-AU"/>
        </w:rPr>
        <w:t xml:space="preserve">subject land’s environmental values </w:t>
      </w:r>
      <w:r w:rsidR="002D4B48" w:rsidRPr="00C73924">
        <w:rPr>
          <w:rFonts w:eastAsia="Century Gothic" w:cs="Century Gothic"/>
          <w:color w:val="auto"/>
          <w:sz w:val="24"/>
          <w:szCs w:val="22"/>
          <w:lang w:val="en-AU" w:bidi="en-AU"/>
        </w:rPr>
        <w:t xml:space="preserve">in a single lot that will remain largely free of development. </w:t>
      </w:r>
    </w:p>
    <w:p w14:paraId="172FF102" w14:textId="51A2207A" w:rsidR="00530121" w:rsidRDefault="00924AAF" w:rsidP="00C73924">
      <w:pPr>
        <w:pStyle w:val="Bullet1"/>
        <w:numPr>
          <w:ilvl w:val="0"/>
          <w:numId w:val="26"/>
        </w:numPr>
        <w:tabs>
          <w:tab w:val="left" w:pos="567"/>
        </w:tabs>
        <w:ind w:left="567" w:hanging="567"/>
        <w:jc w:val="both"/>
      </w:pPr>
      <w:r w:rsidRPr="007E1F95">
        <w:rPr>
          <w:rFonts w:eastAsia="Century Gothic" w:cs="Century Gothic"/>
          <w:b/>
          <w:bCs/>
          <w:color w:val="auto"/>
          <w:sz w:val="24"/>
          <w:szCs w:val="22"/>
          <w:lang w:val="en-AU" w:bidi="en-AU"/>
        </w:rPr>
        <w:t>Clause 13.02-1S ‘Bushfire Planning’</w:t>
      </w:r>
      <w:r w:rsidRPr="00C73924">
        <w:rPr>
          <w:rFonts w:eastAsia="Century Gothic" w:cs="Century Gothic"/>
          <w:color w:val="auto"/>
          <w:sz w:val="24"/>
          <w:szCs w:val="22"/>
          <w:lang w:val="en-AU" w:bidi="en-AU"/>
        </w:rPr>
        <w:t xml:space="preserve"> by </w:t>
      </w:r>
      <w:r w:rsidR="001C6221">
        <w:rPr>
          <w:rFonts w:eastAsia="Century Gothic" w:cs="Century Gothic"/>
          <w:color w:val="auto"/>
          <w:sz w:val="24"/>
          <w:szCs w:val="22"/>
          <w:lang w:val="en-AU" w:bidi="en-AU"/>
        </w:rPr>
        <w:t>ensuring that the proposed development</w:t>
      </w:r>
      <w:r w:rsidRPr="00C73924">
        <w:rPr>
          <w:rFonts w:eastAsia="Century Gothic" w:cs="Century Gothic"/>
          <w:color w:val="auto"/>
          <w:sz w:val="24"/>
          <w:szCs w:val="22"/>
          <w:lang w:val="en-AU" w:bidi="en-AU"/>
        </w:rPr>
        <w:t xml:space="preserve"> </w:t>
      </w:r>
      <w:r w:rsidRPr="00C73924">
        <w:rPr>
          <w:rFonts w:eastAsia="Century Gothic" w:cs="Century Gothic"/>
          <w:color w:val="auto"/>
          <w:sz w:val="24"/>
          <w:szCs w:val="24"/>
          <w:lang w:val="en-AU" w:bidi="en-AU"/>
        </w:rPr>
        <w:t>appropriately</w:t>
      </w:r>
      <w:r w:rsidRPr="00C73924">
        <w:rPr>
          <w:sz w:val="24"/>
          <w:szCs w:val="24"/>
        </w:rPr>
        <w:t xml:space="preserve"> responds to bushfire risk.</w:t>
      </w:r>
      <w:r w:rsidR="00E26B87" w:rsidRPr="00C73924">
        <w:rPr>
          <w:sz w:val="24"/>
          <w:szCs w:val="24"/>
        </w:rPr>
        <w:t xml:space="preserve"> A fire rating of no greater than BAL12.5 is achieved on every lot proposed in the subdivision.</w:t>
      </w:r>
    </w:p>
    <w:p w14:paraId="2EEF2990" w14:textId="53C4DABC" w:rsidR="00D2064B" w:rsidRPr="00C73924" w:rsidRDefault="00D2064B"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13.03-1S ‘Floodplain management’</w:t>
      </w:r>
      <w:r w:rsidRPr="00C73924">
        <w:rPr>
          <w:rFonts w:eastAsia="Century Gothic" w:cs="Century Gothic"/>
          <w:color w:val="auto"/>
          <w:sz w:val="24"/>
          <w:szCs w:val="22"/>
          <w:lang w:val="en-AU" w:bidi="en-AU"/>
        </w:rPr>
        <w:t xml:space="preserve"> by ensuring that development is kept clear of the 1% Annual Exceedance Probability flood extent as agreed to by the West Gippsland Catchment Management Authority (WGCMA). The </w:t>
      </w:r>
      <w:r w:rsidR="008D295D">
        <w:rPr>
          <w:rFonts w:eastAsia="Century Gothic" w:cs="Century Gothic"/>
          <w:color w:val="auto"/>
          <w:sz w:val="24"/>
          <w:szCs w:val="22"/>
          <w:lang w:val="en-AU" w:bidi="en-AU"/>
        </w:rPr>
        <w:t>a</w:t>
      </w:r>
      <w:r w:rsidRPr="00C73924">
        <w:rPr>
          <w:rFonts w:eastAsia="Century Gothic" w:cs="Century Gothic"/>
          <w:color w:val="auto"/>
          <w:sz w:val="24"/>
          <w:szCs w:val="22"/>
          <w:lang w:val="en-AU" w:bidi="en-AU"/>
        </w:rPr>
        <w:t xml:space="preserve">mendment includes minor changes to the Land Subject to Inundation Overlay mapping based on new WGCMA flood data. WGCMA planning permit conditions have </w:t>
      </w:r>
      <w:r w:rsidR="00114268">
        <w:rPr>
          <w:rFonts w:eastAsia="Century Gothic" w:cs="Century Gothic"/>
          <w:color w:val="auto"/>
          <w:sz w:val="24"/>
          <w:szCs w:val="22"/>
          <w:lang w:val="en-AU" w:bidi="en-AU"/>
        </w:rPr>
        <w:t xml:space="preserve">also </w:t>
      </w:r>
      <w:r w:rsidRPr="00C73924">
        <w:rPr>
          <w:rFonts w:eastAsia="Century Gothic" w:cs="Century Gothic"/>
          <w:color w:val="auto"/>
          <w:sz w:val="24"/>
          <w:szCs w:val="22"/>
          <w:lang w:val="en-AU" w:bidi="en-AU"/>
        </w:rPr>
        <w:t xml:space="preserve">been included in the draft subdivision planning permit. </w:t>
      </w:r>
    </w:p>
    <w:p w14:paraId="4961DB06" w14:textId="2A939A7F" w:rsidR="00D2064B"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13.04-1S ‘Contaminated and Potentially Contaminated Land’</w:t>
      </w:r>
      <w:r w:rsidRPr="00C73924">
        <w:rPr>
          <w:rFonts w:eastAsia="Century Gothic" w:cs="Century Gothic"/>
          <w:color w:val="auto"/>
          <w:sz w:val="24"/>
          <w:szCs w:val="22"/>
          <w:lang w:val="en-AU" w:bidi="en-AU"/>
        </w:rPr>
        <w:t xml:space="preserve"> by </w:t>
      </w:r>
      <w:r w:rsidR="006B3A56">
        <w:rPr>
          <w:rFonts w:eastAsia="Century Gothic" w:cs="Century Gothic"/>
          <w:color w:val="auto"/>
          <w:sz w:val="24"/>
          <w:szCs w:val="22"/>
          <w:lang w:val="en-AU" w:bidi="en-AU"/>
        </w:rPr>
        <w:t>ensuring that the land is suitable for residential development as confirmed by the</w:t>
      </w:r>
      <w:r w:rsidRPr="00C73924">
        <w:rPr>
          <w:rFonts w:eastAsia="Century Gothic" w:cs="Century Gothic"/>
          <w:color w:val="auto"/>
          <w:sz w:val="24"/>
          <w:szCs w:val="22"/>
          <w:lang w:val="en-AU" w:bidi="en-AU"/>
        </w:rPr>
        <w:t xml:space="preserve"> Environmental Contamination Assessment </w:t>
      </w:r>
      <w:r w:rsidR="00D2064B" w:rsidRPr="00C73924">
        <w:rPr>
          <w:rFonts w:eastAsia="Century Gothic" w:cs="Century Gothic"/>
          <w:color w:val="auto"/>
          <w:sz w:val="24"/>
          <w:szCs w:val="22"/>
          <w:lang w:val="en-AU" w:bidi="en-AU"/>
        </w:rPr>
        <w:t>and a Preliminary Risk Screening Assessment</w:t>
      </w:r>
      <w:r w:rsidR="006B3A56">
        <w:rPr>
          <w:rFonts w:eastAsia="Century Gothic" w:cs="Century Gothic"/>
          <w:color w:val="auto"/>
          <w:sz w:val="24"/>
          <w:szCs w:val="22"/>
          <w:lang w:val="en-AU" w:bidi="en-AU"/>
        </w:rPr>
        <w:t>.</w:t>
      </w:r>
    </w:p>
    <w:p w14:paraId="34BFE2E8" w14:textId="04C3020B" w:rsidR="002652CC" w:rsidRDefault="00D2064B"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AA55AA">
        <w:rPr>
          <w:rFonts w:eastAsia="Century Gothic" w:cs="Century Gothic"/>
          <w:b/>
          <w:bCs/>
          <w:color w:val="auto"/>
          <w:sz w:val="24"/>
          <w:szCs w:val="22"/>
          <w:lang w:val="en-AU" w:bidi="en-AU"/>
        </w:rPr>
        <w:t>Clause 13.04-2S ‘Erosion and landslip’</w:t>
      </w:r>
      <w:r w:rsidRPr="00C73924">
        <w:rPr>
          <w:rFonts w:eastAsia="Century Gothic" w:cs="Century Gothic"/>
          <w:color w:val="auto"/>
          <w:sz w:val="24"/>
          <w:szCs w:val="22"/>
          <w:lang w:val="en-AU" w:bidi="en-AU"/>
        </w:rPr>
        <w:t xml:space="preserve"> by ensuring that the subdivision is designed so that each lot can contain a building area that avoids steeper land. The </w:t>
      </w:r>
      <w:r w:rsidR="00F738D6">
        <w:rPr>
          <w:rFonts w:eastAsia="Century Gothic" w:cs="Century Gothic"/>
          <w:color w:val="auto"/>
          <w:sz w:val="24"/>
          <w:szCs w:val="22"/>
          <w:lang w:val="en-AU" w:bidi="en-AU"/>
        </w:rPr>
        <w:t>EMO</w:t>
      </w:r>
      <w:r w:rsidR="00795010">
        <w:rPr>
          <w:rFonts w:eastAsia="Century Gothic" w:cs="Century Gothic"/>
          <w:color w:val="auto"/>
          <w:sz w:val="24"/>
          <w:szCs w:val="22"/>
          <w:lang w:val="en-AU" w:bidi="en-AU"/>
        </w:rPr>
        <w:t>1</w:t>
      </w:r>
      <w:r w:rsidR="00131B3C">
        <w:rPr>
          <w:rFonts w:eastAsia="Century Gothic" w:cs="Century Gothic"/>
          <w:color w:val="auto"/>
          <w:sz w:val="24"/>
          <w:szCs w:val="22"/>
          <w:lang w:val="en-AU" w:bidi="en-AU"/>
        </w:rPr>
        <w:t xml:space="preserve"> </w:t>
      </w:r>
      <w:r w:rsidRPr="00C73924">
        <w:rPr>
          <w:rFonts w:eastAsia="Century Gothic" w:cs="Century Gothic"/>
          <w:color w:val="auto"/>
          <w:sz w:val="24"/>
          <w:szCs w:val="22"/>
          <w:lang w:val="en-AU" w:bidi="en-AU"/>
        </w:rPr>
        <w:t xml:space="preserve">is to be removed from the subject land. The subject land is moderately undulating and does not have </w:t>
      </w:r>
      <w:r w:rsidR="00E77F1B" w:rsidRPr="00C73924">
        <w:rPr>
          <w:rFonts w:eastAsia="Century Gothic" w:cs="Century Gothic"/>
          <w:color w:val="auto"/>
          <w:sz w:val="24"/>
          <w:szCs w:val="22"/>
          <w:lang w:val="en-AU" w:bidi="en-AU"/>
        </w:rPr>
        <w:t>slope or soil characteristics</w:t>
      </w:r>
      <w:r w:rsidRPr="00C73924">
        <w:rPr>
          <w:rFonts w:eastAsia="Century Gothic" w:cs="Century Gothic"/>
          <w:color w:val="auto"/>
          <w:sz w:val="24"/>
          <w:szCs w:val="22"/>
          <w:lang w:val="en-AU" w:bidi="en-AU"/>
        </w:rPr>
        <w:t xml:space="preserve"> </w:t>
      </w:r>
      <w:r w:rsidR="00E77F1B" w:rsidRPr="00C73924">
        <w:rPr>
          <w:rFonts w:eastAsia="Century Gothic" w:cs="Century Gothic"/>
          <w:color w:val="auto"/>
          <w:sz w:val="24"/>
          <w:szCs w:val="22"/>
          <w:lang w:val="en-AU" w:bidi="en-AU"/>
        </w:rPr>
        <w:t>commonly associated with</w:t>
      </w:r>
      <w:r w:rsidRPr="00C73924">
        <w:rPr>
          <w:rFonts w:eastAsia="Century Gothic" w:cs="Century Gothic"/>
          <w:color w:val="auto"/>
          <w:sz w:val="24"/>
          <w:szCs w:val="22"/>
          <w:lang w:val="en-AU" w:bidi="en-AU"/>
        </w:rPr>
        <w:t xml:space="preserve"> landslip</w:t>
      </w:r>
      <w:r w:rsidR="00E77F1B" w:rsidRPr="00C73924">
        <w:rPr>
          <w:rFonts w:eastAsia="Century Gothic" w:cs="Century Gothic"/>
          <w:color w:val="auto"/>
          <w:sz w:val="24"/>
          <w:szCs w:val="22"/>
          <w:lang w:val="en-AU" w:bidi="en-AU"/>
        </w:rPr>
        <w:t xml:space="preserve"> risk</w:t>
      </w:r>
      <w:r w:rsidRPr="00C73924">
        <w:rPr>
          <w:rFonts w:eastAsia="Century Gothic" w:cs="Century Gothic"/>
          <w:color w:val="auto"/>
          <w:sz w:val="24"/>
          <w:szCs w:val="22"/>
          <w:lang w:val="en-AU" w:bidi="en-AU"/>
        </w:rPr>
        <w:t xml:space="preserve">. </w:t>
      </w:r>
      <w:r w:rsidR="00131B3C">
        <w:rPr>
          <w:rFonts w:eastAsia="Century Gothic" w:cs="Century Gothic"/>
          <w:color w:val="auto"/>
          <w:sz w:val="24"/>
          <w:szCs w:val="22"/>
          <w:lang w:val="en-AU" w:bidi="en-AU"/>
        </w:rPr>
        <w:t xml:space="preserve">GIS analysis of the site shows that 90% of the site has a slope of less than 10 percent. The steepest land is 15 percent and is contained to land east of the eastern most road where development will not be able to occur due to building envelopes </w:t>
      </w:r>
      <w:r w:rsidR="002652CC">
        <w:rPr>
          <w:rFonts w:eastAsia="Century Gothic" w:cs="Century Gothic"/>
          <w:color w:val="auto"/>
          <w:sz w:val="24"/>
          <w:szCs w:val="22"/>
          <w:lang w:val="en-AU" w:bidi="en-AU"/>
        </w:rPr>
        <w:t>proposed for these lots</w:t>
      </w:r>
      <w:r w:rsidR="00131B3C">
        <w:rPr>
          <w:rFonts w:eastAsia="Century Gothic" w:cs="Century Gothic"/>
          <w:color w:val="auto"/>
          <w:sz w:val="24"/>
          <w:szCs w:val="22"/>
          <w:lang w:val="en-AU" w:bidi="en-AU"/>
        </w:rPr>
        <w:t xml:space="preserve">. </w:t>
      </w:r>
    </w:p>
    <w:p w14:paraId="7D982621" w14:textId="5B44BE5B" w:rsidR="00131B3C" w:rsidRDefault="00131B3C" w:rsidP="002652CC">
      <w:pPr>
        <w:pStyle w:val="Bullet1"/>
        <w:numPr>
          <w:ilvl w:val="0"/>
          <w:numId w:val="0"/>
        </w:numPr>
        <w:tabs>
          <w:tab w:val="left" w:pos="567"/>
        </w:tabs>
        <w:ind w:left="567"/>
        <w:jc w:val="both"/>
        <w:rPr>
          <w:rFonts w:eastAsia="Century Gothic" w:cs="Century Gothic"/>
          <w:color w:val="auto"/>
          <w:sz w:val="24"/>
          <w:szCs w:val="22"/>
          <w:lang w:val="en-AU" w:bidi="en-AU"/>
        </w:rPr>
      </w:pPr>
      <w:r>
        <w:rPr>
          <w:rFonts w:eastAsia="Century Gothic" w:cs="Century Gothic"/>
          <w:color w:val="auto"/>
          <w:sz w:val="24"/>
          <w:szCs w:val="22"/>
          <w:lang w:val="en-AU" w:bidi="en-AU"/>
        </w:rPr>
        <w:t xml:space="preserve">The moderate slope of the subject land is consistent with the landform of the surrounding residential land which was removed from the ESO5 </w:t>
      </w:r>
      <w:r w:rsidR="00072DAB">
        <w:rPr>
          <w:rFonts w:eastAsia="Century Gothic" w:cs="Century Gothic"/>
          <w:color w:val="auto"/>
          <w:sz w:val="24"/>
          <w:szCs w:val="22"/>
          <w:lang w:val="en-AU" w:bidi="en-AU"/>
        </w:rPr>
        <w:t xml:space="preserve">(predecessor control to the EMO1) </w:t>
      </w:r>
      <w:r>
        <w:rPr>
          <w:rFonts w:eastAsia="Century Gothic" w:cs="Century Gothic"/>
          <w:color w:val="auto"/>
          <w:sz w:val="24"/>
          <w:szCs w:val="22"/>
          <w:lang w:val="en-AU" w:bidi="en-AU"/>
        </w:rPr>
        <w:t>when rezoned</w:t>
      </w:r>
      <w:r w:rsidR="002652CC">
        <w:rPr>
          <w:rFonts w:eastAsia="Century Gothic" w:cs="Century Gothic"/>
          <w:color w:val="auto"/>
          <w:sz w:val="24"/>
          <w:szCs w:val="22"/>
          <w:lang w:val="en-AU" w:bidi="en-AU"/>
        </w:rPr>
        <w:t xml:space="preserve"> for residential development</w:t>
      </w:r>
      <w:r>
        <w:rPr>
          <w:rFonts w:eastAsia="Century Gothic" w:cs="Century Gothic"/>
          <w:color w:val="auto"/>
          <w:sz w:val="24"/>
          <w:szCs w:val="22"/>
          <w:lang w:val="en-AU" w:bidi="en-AU"/>
        </w:rPr>
        <w:t xml:space="preserve">. There is no benefit to landowners, Council or public land manager in retaining the overlay and potentially triggering a planning permit </w:t>
      </w:r>
      <w:r w:rsidR="002652CC">
        <w:rPr>
          <w:rFonts w:eastAsia="Century Gothic" w:cs="Century Gothic"/>
          <w:color w:val="auto"/>
          <w:sz w:val="24"/>
          <w:szCs w:val="22"/>
          <w:lang w:val="en-AU" w:bidi="en-AU"/>
        </w:rPr>
        <w:t xml:space="preserve">when dwelling earthwork stability can be appropriately assessed as part of a building permit approval. </w:t>
      </w:r>
    </w:p>
    <w:p w14:paraId="69C06432" w14:textId="72759F30" w:rsidR="00782F30" w:rsidRPr="00C73924" w:rsidRDefault="00D2064B" w:rsidP="00131B3C">
      <w:pPr>
        <w:pStyle w:val="Bullet1"/>
        <w:numPr>
          <w:ilvl w:val="0"/>
          <w:numId w:val="0"/>
        </w:numPr>
        <w:tabs>
          <w:tab w:val="left" w:pos="567"/>
        </w:tabs>
        <w:ind w:left="567"/>
        <w:jc w:val="both"/>
        <w:rPr>
          <w:rFonts w:eastAsia="Century Gothic" w:cs="Century Gothic"/>
          <w:color w:val="auto"/>
          <w:sz w:val="24"/>
          <w:szCs w:val="22"/>
          <w:lang w:val="en-AU" w:bidi="en-AU"/>
        </w:rPr>
      </w:pPr>
      <w:r w:rsidRPr="00C73924">
        <w:rPr>
          <w:rFonts w:eastAsia="Century Gothic" w:cs="Century Gothic"/>
          <w:color w:val="auto"/>
          <w:sz w:val="24"/>
          <w:szCs w:val="22"/>
          <w:lang w:val="en-AU" w:bidi="en-AU"/>
        </w:rPr>
        <w:lastRenderedPageBreak/>
        <w:t xml:space="preserve">Urban development necessitates stormwater management </w:t>
      </w:r>
      <w:r w:rsidR="00E77F1B" w:rsidRPr="00C73924">
        <w:rPr>
          <w:rFonts w:eastAsia="Century Gothic" w:cs="Century Gothic"/>
          <w:color w:val="auto"/>
          <w:sz w:val="24"/>
          <w:szCs w:val="22"/>
          <w:lang w:val="en-AU" w:bidi="en-AU"/>
        </w:rPr>
        <w:t>which reduces the quantity of water percolating into the soil</w:t>
      </w:r>
      <w:r w:rsidR="002652CC">
        <w:rPr>
          <w:rFonts w:eastAsia="Century Gothic" w:cs="Century Gothic"/>
          <w:color w:val="auto"/>
          <w:sz w:val="24"/>
          <w:szCs w:val="22"/>
          <w:lang w:val="en-AU" w:bidi="en-AU"/>
        </w:rPr>
        <w:t>. This</w:t>
      </w:r>
      <w:r w:rsidR="00E77F1B" w:rsidRPr="00C73924">
        <w:rPr>
          <w:rFonts w:eastAsia="Century Gothic" w:cs="Century Gothic"/>
          <w:color w:val="auto"/>
          <w:sz w:val="24"/>
          <w:szCs w:val="22"/>
          <w:lang w:val="en-AU" w:bidi="en-AU"/>
        </w:rPr>
        <w:t xml:space="preserve"> reduc</w:t>
      </w:r>
      <w:r w:rsidR="002652CC">
        <w:rPr>
          <w:rFonts w:eastAsia="Century Gothic" w:cs="Century Gothic"/>
          <w:color w:val="auto"/>
          <w:sz w:val="24"/>
          <w:szCs w:val="22"/>
          <w:lang w:val="en-AU" w:bidi="en-AU"/>
        </w:rPr>
        <w:t>es</w:t>
      </w:r>
      <w:r w:rsidR="00E77F1B" w:rsidRPr="00C73924">
        <w:rPr>
          <w:rFonts w:eastAsia="Century Gothic" w:cs="Century Gothic"/>
          <w:color w:val="auto"/>
          <w:sz w:val="24"/>
          <w:szCs w:val="22"/>
          <w:lang w:val="en-AU" w:bidi="en-AU"/>
        </w:rPr>
        <w:t xml:space="preserve"> erosion and landslip risk. Appropriate subdivision and dwelling development of the land can address </w:t>
      </w:r>
      <w:r w:rsidR="002652CC">
        <w:rPr>
          <w:rFonts w:eastAsia="Century Gothic" w:cs="Century Gothic"/>
          <w:color w:val="auto"/>
          <w:sz w:val="24"/>
          <w:szCs w:val="22"/>
          <w:lang w:val="en-AU" w:bidi="en-AU"/>
        </w:rPr>
        <w:t xml:space="preserve">any </w:t>
      </w:r>
      <w:r w:rsidR="00E77F1B" w:rsidRPr="00C73924">
        <w:rPr>
          <w:rFonts w:eastAsia="Century Gothic" w:cs="Century Gothic"/>
          <w:color w:val="auto"/>
          <w:sz w:val="24"/>
          <w:szCs w:val="22"/>
          <w:lang w:val="en-AU" w:bidi="en-AU"/>
        </w:rPr>
        <w:t>erosion and landslip risk making it</w:t>
      </w:r>
      <w:r w:rsidR="002652CC">
        <w:rPr>
          <w:rFonts w:eastAsia="Century Gothic" w:cs="Century Gothic"/>
          <w:color w:val="auto"/>
          <w:sz w:val="24"/>
          <w:szCs w:val="22"/>
          <w:lang w:val="en-AU" w:bidi="en-AU"/>
        </w:rPr>
        <w:t xml:space="preserve"> </w:t>
      </w:r>
      <w:r w:rsidR="00E77F1B" w:rsidRPr="00C73924">
        <w:rPr>
          <w:rFonts w:eastAsia="Century Gothic" w:cs="Century Gothic"/>
          <w:color w:val="auto"/>
          <w:sz w:val="24"/>
          <w:szCs w:val="22"/>
          <w:lang w:val="en-AU" w:bidi="en-AU"/>
        </w:rPr>
        <w:t xml:space="preserve">appropriate to remove the planning scheme burden of the </w:t>
      </w:r>
      <w:r w:rsidR="002652CC">
        <w:rPr>
          <w:rFonts w:eastAsia="Century Gothic" w:cs="Century Gothic"/>
          <w:color w:val="auto"/>
          <w:sz w:val="24"/>
          <w:szCs w:val="22"/>
          <w:lang w:val="en-AU" w:bidi="en-AU"/>
        </w:rPr>
        <w:t xml:space="preserve">EMO1 </w:t>
      </w:r>
      <w:r w:rsidR="00E77F1B" w:rsidRPr="00C73924">
        <w:rPr>
          <w:rFonts w:eastAsia="Century Gothic" w:cs="Century Gothic"/>
          <w:color w:val="auto"/>
          <w:sz w:val="24"/>
          <w:szCs w:val="22"/>
          <w:lang w:val="en-AU" w:bidi="en-AU"/>
        </w:rPr>
        <w:t xml:space="preserve">on the land. </w:t>
      </w:r>
    </w:p>
    <w:p w14:paraId="6212706E" w14:textId="77777777" w:rsidR="001533A5" w:rsidRDefault="00782F30" w:rsidP="00C73924">
      <w:pPr>
        <w:pStyle w:val="Bullet1"/>
        <w:numPr>
          <w:ilvl w:val="0"/>
          <w:numId w:val="26"/>
        </w:numPr>
        <w:tabs>
          <w:tab w:val="left" w:pos="567"/>
        </w:tabs>
        <w:ind w:left="567" w:hanging="567"/>
        <w:jc w:val="both"/>
      </w:pPr>
      <w:r w:rsidRPr="00CD17CC">
        <w:rPr>
          <w:rFonts w:eastAsia="Century Gothic" w:cs="Century Gothic"/>
          <w:b/>
          <w:bCs/>
          <w:color w:val="auto"/>
          <w:sz w:val="24"/>
          <w:szCs w:val="22"/>
          <w:lang w:val="en-AU" w:bidi="en-AU"/>
        </w:rPr>
        <w:t>Clause 13.05-1S ‘Noise management’</w:t>
      </w:r>
      <w:r w:rsidRPr="00C73924">
        <w:rPr>
          <w:rFonts w:eastAsia="Century Gothic" w:cs="Century Gothic"/>
          <w:color w:val="auto"/>
          <w:sz w:val="24"/>
          <w:szCs w:val="22"/>
          <w:lang w:val="en-AU" w:bidi="en-AU"/>
        </w:rPr>
        <w:t xml:space="preserve"> by ensuring that planning permit conditions require noise attenuation construction for dwellings </w:t>
      </w:r>
      <w:proofErr w:type="gramStart"/>
      <w:r w:rsidRPr="00C73924">
        <w:rPr>
          <w:rFonts w:eastAsia="Century Gothic" w:cs="Century Gothic"/>
          <w:color w:val="auto"/>
          <w:sz w:val="24"/>
          <w:szCs w:val="22"/>
          <w:lang w:val="en-AU" w:bidi="en-AU"/>
        </w:rPr>
        <w:t>in close proximity to</w:t>
      </w:r>
      <w:proofErr w:type="gramEnd"/>
      <w:r w:rsidRPr="00C73924">
        <w:rPr>
          <w:rFonts w:eastAsia="Century Gothic" w:cs="Century Gothic"/>
          <w:color w:val="auto"/>
          <w:sz w:val="24"/>
          <w:szCs w:val="22"/>
          <w:lang w:val="en-AU" w:bidi="en-AU"/>
        </w:rPr>
        <w:t xml:space="preserve"> the bus depot situated on the northern side of Parr Street.</w:t>
      </w:r>
      <w:r>
        <w:t xml:space="preserve"> </w:t>
      </w:r>
    </w:p>
    <w:p w14:paraId="4BEDC5C3" w14:textId="56047127" w:rsidR="00C3420F" w:rsidRDefault="00782F30" w:rsidP="00C73924">
      <w:pPr>
        <w:widowControl/>
        <w:autoSpaceDE/>
        <w:autoSpaceDN/>
        <w:spacing w:line="240" w:lineRule="auto"/>
        <w:ind w:left="567"/>
        <w:jc w:val="both"/>
      </w:pPr>
      <w:r>
        <w:t xml:space="preserve">Noise management has been considered in the report </w:t>
      </w:r>
      <w:r w:rsidRPr="007E1F95">
        <w:rPr>
          <w:i/>
          <w:iCs/>
        </w:rPr>
        <w:t>Enfield Acoustics Noise Vibration – Acoustic Report November 2023</w:t>
      </w:r>
      <w:r>
        <w:t xml:space="preserve">. The report concluded that EPA noise protocol limits related to external noise impacts on residential land is broadly complied with except </w:t>
      </w:r>
      <w:r w:rsidR="001533A5">
        <w:t xml:space="preserve">in relation to a small number of bus movements prior to 7am. These impacts can be readily managed via noise attenuation construction that will have minimal impacts on dwelling construction costs and only affect </w:t>
      </w:r>
      <w:r w:rsidR="00B325C3">
        <w:t xml:space="preserve">a small number of </w:t>
      </w:r>
      <w:r w:rsidR="001533A5">
        <w:t xml:space="preserve">dwellings </w:t>
      </w:r>
      <w:proofErr w:type="gramStart"/>
      <w:r w:rsidR="001533A5">
        <w:t>in close proximity to</w:t>
      </w:r>
      <w:proofErr w:type="gramEnd"/>
      <w:r w:rsidR="001533A5">
        <w:t xml:space="preserve"> the bus depot.</w:t>
      </w:r>
    </w:p>
    <w:p w14:paraId="7DE2B8BB" w14:textId="46B528CB" w:rsidR="006F4AB7" w:rsidRDefault="00D63740"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CD17CC">
        <w:rPr>
          <w:rFonts w:eastAsia="Century Gothic" w:cs="Century Gothic"/>
          <w:b/>
          <w:bCs/>
          <w:color w:val="auto"/>
          <w:sz w:val="24"/>
          <w:szCs w:val="22"/>
          <w:lang w:val="en-AU" w:bidi="en-AU"/>
        </w:rPr>
        <w:t>Clause 14.02-1S ‘Catchment planning and management’</w:t>
      </w:r>
      <w:r w:rsidRPr="00C73924">
        <w:rPr>
          <w:rFonts w:eastAsia="Century Gothic" w:cs="Century Gothic"/>
          <w:color w:val="auto"/>
          <w:sz w:val="24"/>
          <w:szCs w:val="22"/>
          <w:lang w:val="en-AU" w:bidi="en-AU"/>
        </w:rPr>
        <w:t xml:space="preserve"> by ensuring that all new development on the subject land is </w:t>
      </w:r>
      <w:r w:rsidR="005C1783" w:rsidRPr="00C73924">
        <w:rPr>
          <w:rFonts w:eastAsia="Century Gothic" w:cs="Century Gothic"/>
          <w:color w:val="auto"/>
          <w:sz w:val="24"/>
          <w:szCs w:val="22"/>
          <w:lang w:val="en-AU" w:bidi="en-AU"/>
        </w:rPr>
        <w:t>connected to</w:t>
      </w:r>
      <w:r w:rsidRPr="00C73924">
        <w:rPr>
          <w:rFonts w:eastAsia="Century Gothic" w:cs="Century Gothic"/>
          <w:color w:val="auto"/>
          <w:sz w:val="24"/>
          <w:szCs w:val="22"/>
          <w:lang w:val="en-AU" w:bidi="en-AU"/>
        </w:rPr>
        <w:t xml:space="preserve"> reticulated sewer so that water quality in the declared Tarwin River catchment is protected. </w:t>
      </w:r>
      <w:r w:rsidR="005611AC">
        <w:rPr>
          <w:rFonts w:eastAsia="Century Gothic" w:cs="Century Gothic"/>
          <w:color w:val="auto"/>
          <w:sz w:val="24"/>
          <w:szCs w:val="22"/>
          <w:lang w:val="en-AU" w:bidi="en-AU"/>
        </w:rPr>
        <w:t>The ESO2 (Special Water Supply Catchment Areas) is proposed to be removed from the subject land</w:t>
      </w:r>
      <w:r w:rsidR="00FA3D93">
        <w:rPr>
          <w:rFonts w:eastAsia="Century Gothic" w:cs="Century Gothic"/>
          <w:color w:val="auto"/>
          <w:sz w:val="24"/>
          <w:szCs w:val="22"/>
          <w:lang w:val="en-AU" w:bidi="en-AU"/>
        </w:rPr>
        <w:t>. This is a normal process for Council when land is to be rezoned in a sewer district and connection to reticulates sewer is mandatory</w:t>
      </w:r>
      <w:r w:rsidR="005611AC">
        <w:rPr>
          <w:rFonts w:eastAsia="Century Gothic" w:cs="Century Gothic"/>
          <w:color w:val="auto"/>
          <w:sz w:val="24"/>
          <w:szCs w:val="22"/>
          <w:lang w:val="en-AU" w:bidi="en-AU"/>
        </w:rPr>
        <w:t xml:space="preserve">. </w:t>
      </w:r>
      <w:r w:rsidR="00FA3D93">
        <w:rPr>
          <w:rFonts w:eastAsia="Century Gothic" w:cs="Century Gothic"/>
          <w:color w:val="auto"/>
          <w:sz w:val="24"/>
          <w:szCs w:val="22"/>
          <w:lang w:val="en-AU" w:bidi="en-AU"/>
        </w:rPr>
        <w:t xml:space="preserve">While the ESO2 does provide a planning permit exemption for new dwellings on land provided with reticulated sewer, retention of the ESO2 would be an unnecessary burden and potential source of confusion for future landowners. </w:t>
      </w:r>
    </w:p>
    <w:p w14:paraId="7F43C76A" w14:textId="00CF65D1" w:rsidR="005C1783" w:rsidRPr="00C73924" w:rsidRDefault="00FA3D93" w:rsidP="006F4AB7">
      <w:pPr>
        <w:pStyle w:val="Bullet1"/>
        <w:numPr>
          <w:ilvl w:val="0"/>
          <w:numId w:val="0"/>
        </w:numPr>
        <w:tabs>
          <w:tab w:val="left" w:pos="567"/>
        </w:tabs>
        <w:ind w:left="567"/>
        <w:jc w:val="both"/>
        <w:rPr>
          <w:rFonts w:eastAsia="Century Gothic" w:cs="Century Gothic"/>
          <w:color w:val="auto"/>
          <w:sz w:val="24"/>
          <w:szCs w:val="22"/>
          <w:lang w:val="en-AU" w:bidi="en-AU"/>
        </w:rPr>
      </w:pPr>
      <w:r>
        <w:rPr>
          <w:rFonts w:eastAsia="Century Gothic" w:cs="Century Gothic"/>
          <w:color w:val="auto"/>
          <w:sz w:val="24"/>
          <w:szCs w:val="22"/>
          <w:lang w:val="en-AU" w:bidi="en-AU"/>
        </w:rPr>
        <w:t xml:space="preserve">In a situation where the ESO2 is removed and the subdivision planning permit is not acted </w:t>
      </w:r>
      <w:r w:rsidR="006F4AB7">
        <w:rPr>
          <w:rFonts w:eastAsia="Century Gothic" w:cs="Century Gothic"/>
          <w:color w:val="auto"/>
          <w:sz w:val="24"/>
          <w:szCs w:val="22"/>
          <w:lang w:val="en-AU" w:bidi="en-AU"/>
        </w:rPr>
        <w:t>upon</w:t>
      </w:r>
      <w:r>
        <w:rPr>
          <w:rFonts w:eastAsia="Century Gothic" w:cs="Century Gothic"/>
          <w:color w:val="auto"/>
          <w:sz w:val="24"/>
          <w:szCs w:val="22"/>
          <w:lang w:val="en-AU" w:bidi="en-AU"/>
        </w:rPr>
        <w:t xml:space="preserve"> and the land not subdivided, the catchment remains protected by the provisions of the </w:t>
      </w:r>
      <w:r w:rsidRPr="003C79F9">
        <w:rPr>
          <w:rFonts w:eastAsia="Century Gothic" w:cs="Century Gothic"/>
          <w:i/>
          <w:iCs/>
          <w:color w:val="auto"/>
          <w:sz w:val="24"/>
          <w:szCs w:val="22"/>
          <w:lang w:val="en-AU" w:bidi="en-AU"/>
        </w:rPr>
        <w:t>Catchment and Land Protection Act 1994</w:t>
      </w:r>
      <w:r w:rsidR="006F4AB7">
        <w:rPr>
          <w:rFonts w:eastAsia="Century Gothic" w:cs="Century Gothic"/>
          <w:color w:val="auto"/>
          <w:sz w:val="24"/>
          <w:szCs w:val="22"/>
          <w:lang w:val="en-AU" w:bidi="en-AU"/>
        </w:rPr>
        <w:t>. The Act</w:t>
      </w:r>
      <w:r>
        <w:rPr>
          <w:rFonts w:eastAsia="Century Gothic" w:cs="Century Gothic"/>
          <w:color w:val="auto"/>
          <w:sz w:val="24"/>
          <w:szCs w:val="22"/>
          <w:lang w:val="en-AU" w:bidi="en-AU"/>
        </w:rPr>
        <w:t xml:space="preserve"> has the effect in the planning scheme of requiring planning permit applications for buildings and works to be referred to </w:t>
      </w:r>
      <w:r w:rsidR="006F4AB7">
        <w:rPr>
          <w:rFonts w:eastAsia="Century Gothic" w:cs="Century Gothic"/>
          <w:color w:val="auto"/>
          <w:sz w:val="24"/>
          <w:szCs w:val="22"/>
          <w:lang w:val="en-AU" w:bidi="en-AU"/>
        </w:rPr>
        <w:t xml:space="preserve">the water authority (South Gippsland Regional Water Corporation) for consideration as a Determining </w:t>
      </w:r>
      <w:r w:rsidR="003C79F9">
        <w:rPr>
          <w:rFonts w:eastAsia="Century Gothic" w:cs="Century Gothic"/>
          <w:color w:val="auto"/>
          <w:sz w:val="24"/>
          <w:szCs w:val="22"/>
          <w:lang w:val="en-AU" w:bidi="en-AU"/>
        </w:rPr>
        <w:t>A</w:t>
      </w:r>
      <w:r w:rsidR="006F4AB7">
        <w:rPr>
          <w:rFonts w:eastAsia="Century Gothic" w:cs="Century Gothic"/>
          <w:color w:val="auto"/>
          <w:sz w:val="24"/>
          <w:szCs w:val="22"/>
          <w:lang w:val="en-AU" w:bidi="en-AU"/>
        </w:rPr>
        <w:t xml:space="preserve">uthority. This additional level of catchment protection further supports the removal of the ESO2 from the subject land. </w:t>
      </w:r>
    </w:p>
    <w:p w14:paraId="14C602A3" w14:textId="5D990D95" w:rsidR="00924AAF" w:rsidRPr="00C73924" w:rsidRDefault="005C1783"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14.02-2S ‘Water quality’</w:t>
      </w:r>
      <w:r w:rsidRPr="00C73924">
        <w:rPr>
          <w:rFonts w:eastAsia="Century Gothic" w:cs="Century Gothic"/>
          <w:color w:val="auto"/>
          <w:sz w:val="24"/>
          <w:szCs w:val="22"/>
          <w:lang w:val="en-AU" w:bidi="en-AU"/>
        </w:rPr>
        <w:t xml:space="preserve"> by providing </w:t>
      </w:r>
      <w:r w:rsidR="00B17475" w:rsidRPr="00C73924">
        <w:rPr>
          <w:rFonts w:eastAsia="Century Gothic" w:cs="Century Gothic"/>
          <w:color w:val="auto"/>
          <w:sz w:val="24"/>
          <w:szCs w:val="22"/>
          <w:lang w:val="en-AU" w:bidi="en-AU"/>
        </w:rPr>
        <w:t>a</w:t>
      </w:r>
      <w:r w:rsidRPr="00C73924">
        <w:rPr>
          <w:rFonts w:eastAsia="Century Gothic" w:cs="Century Gothic"/>
          <w:color w:val="auto"/>
          <w:sz w:val="24"/>
          <w:szCs w:val="22"/>
          <w:lang w:val="en-AU" w:bidi="en-AU"/>
        </w:rPr>
        <w:t xml:space="preserve"> stormwater treatment system that will capture and treat stormwater from the entire development to industry best standard which is essential for a development adjoining the Tarwin River. </w:t>
      </w:r>
    </w:p>
    <w:p w14:paraId="77EB033F" w14:textId="64864A5E" w:rsidR="00924AAF"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 xml:space="preserve">Clause 15.01-3S ‘Subdivision </w:t>
      </w:r>
      <w:proofErr w:type="spellStart"/>
      <w:r w:rsidRPr="007E1F95">
        <w:rPr>
          <w:rFonts w:eastAsia="Century Gothic" w:cs="Century Gothic"/>
          <w:b/>
          <w:bCs/>
          <w:color w:val="auto"/>
          <w:sz w:val="24"/>
          <w:szCs w:val="22"/>
          <w:lang w:val="en-AU" w:bidi="en-AU"/>
        </w:rPr>
        <w:t>design’</w:t>
      </w:r>
      <w:proofErr w:type="spellEnd"/>
      <w:r w:rsidRPr="00C73924">
        <w:rPr>
          <w:rFonts w:eastAsia="Century Gothic" w:cs="Century Gothic"/>
          <w:color w:val="auto"/>
          <w:sz w:val="24"/>
          <w:szCs w:val="22"/>
          <w:lang w:val="en-AU" w:bidi="en-AU"/>
        </w:rPr>
        <w:t xml:space="preserve"> by providing a logical and permeable subdivision layout that will benefit from the surrounding amenity and integrate seamlessly with the adjoining estates.</w:t>
      </w:r>
      <w:r w:rsidR="006D1784" w:rsidRPr="00C73924">
        <w:rPr>
          <w:rFonts w:eastAsia="Century Gothic" w:cs="Century Gothic"/>
          <w:color w:val="auto"/>
          <w:sz w:val="24"/>
          <w:szCs w:val="22"/>
          <w:lang w:val="en-AU" w:bidi="en-AU"/>
        </w:rPr>
        <w:t xml:space="preserve"> The subdivision plan provides a variety of lot sizes, good solar orientation, excellent connectivity to adjoining lands (has only one dead end road) and road frontage to an existing open space reserve with play equipment. </w:t>
      </w:r>
    </w:p>
    <w:p w14:paraId="294A13AD" w14:textId="0584171A" w:rsidR="00924AAF"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15.03-2S ‘Aboriginal Cultural Heritage’</w:t>
      </w:r>
      <w:r w:rsidRPr="00C73924">
        <w:rPr>
          <w:rFonts w:eastAsia="Century Gothic" w:cs="Century Gothic"/>
          <w:color w:val="auto"/>
          <w:sz w:val="24"/>
          <w:szCs w:val="22"/>
          <w:lang w:val="en-AU" w:bidi="en-AU"/>
        </w:rPr>
        <w:t xml:space="preserve"> by preparing a Cultural Heritage Management Plan </w:t>
      </w:r>
      <w:r w:rsidR="005F057F" w:rsidRPr="00C73924">
        <w:rPr>
          <w:rFonts w:eastAsia="Century Gothic" w:cs="Century Gothic"/>
          <w:color w:val="auto"/>
          <w:sz w:val="24"/>
          <w:szCs w:val="22"/>
          <w:lang w:val="en-AU" w:bidi="en-AU"/>
        </w:rPr>
        <w:t xml:space="preserve">that has been </w:t>
      </w:r>
      <w:r w:rsidRPr="00C73924">
        <w:rPr>
          <w:rFonts w:eastAsia="Century Gothic" w:cs="Century Gothic"/>
          <w:color w:val="auto"/>
          <w:sz w:val="24"/>
          <w:szCs w:val="22"/>
          <w:lang w:val="en-AU" w:bidi="en-AU"/>
        </w:rPr>
        <w:t xml:space="preserve">approved by the relevant Registered Aboriginal Party. </w:t>
      </w:r>
      <w:r w:rsidR="005F057F" w:rsidRPr="00C73924">
        <w:rPr>
          <w:rFonts w:eastAsia="Century Gothic" w:cs="Century Gothic"/>
          <w:color w:val="auto"/>
          <w:sz w:val="24"/>
          <w:szCs w:val="22"/>
          <w:lang w:val="en-AU" w:bidi="en-AU"/>
        </w:rPr>
        <w:t>A copy of the CHMP has been registered with First Peoples State Relation</w:t>
      </w:r>
      <w:r w:rsidR="006F7C19">
        <w:rPr>
          <w:rFonts w:eastAsia="Century Gothic" w:cs="Century Gothic"/>
          <w:color w:val="auto"/>
          <w:sz w:val="24"/>
          <w:szCs w:val="22"/>
          <w:lang w:val="en-AU" w:bidi="en-AU"/>
        </w:rPr>
        <w:t>s</w:t>
      </w:r>
      <w:r w:rsidR="005F057F" w:rsidRPr="00C73924">
        <w:rPr>
          <w:rFonts w:eastAsia="Century Gothic" w:cs="Century Gothic"/>
          <w:color w:val="auto"/>
          <w:sz w:val="24"/>
          <w:szCs w:val="22"/>
          <w:lang w:val="en-AU" w:bidi="en-AU"/>
        </w:rPr>
        <w:t xml:space="preserve">. </w:t>
      </w:r>
    </w:p>
    <w:p w14:paraId="020D67E6" w14:textId="10B433D1" w:rsidR="00924AAF"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lastRenderedPageBreak/>
        <w:t>Clause 16.01-1L ‘Housing Supply in South Gippsland’</w:t>
      </w:r>
      <w:r w:rsidRPr="00C73924">
        <w:rPr>
          <w:rFonts w:eastAsia="Century Gothic" w:cs="Century Gothic"/>
          <w:color w:val="auto"/>
          <w:sz w:val="24"/>
          <w:szCs w:val="22"/>
          <w:lang w:val="en-AU" w:bidi="en-AU"/>
        </w:rPr>
        <w:t xml:space="preserve"> by rezoning and concurrently obtaining the planning permit to bring land to market as soon as practical.</w:t>
      </w:r>
      <w:r w:rsidR="009E2E7E" w:rsidRPr="00C73924">
        <w:rPr>
          <w:rFonts w:eastAsia="Century Gothic" w:cs="Century Gothic"/>
          <w:color w:val="auto"/>
          <w:sz w:val="24"/>
          <w:szCs w:val="22"/>
          <w:lang w:val="en-AU" w:bidi="en-AU"/>
        </w:rPr>
        <w:t xml:space="preserve"> </w:t>
      </w:r>
      <w:r w:rsidR="00BD1BEB" w:rsidRPr="00C73924">
        <w:rPr>
          <w:rFonts w:eastAsia="Century Gothic" w:cs="Century Gothic"/>
          <w:color w:val="auto"/>
          <w:sz w:val="24"/>
          <w:szCs w:val="22"/>
          <w:lang w:val="en-AU" w:bidi="en-AU"/>
        </w:rPr>
        <w:t xml:space="preserve">Leongatha </w:t>
      </w:r>
      <w:r w:rsidR="00C6253E">
        <w:rPr>
          <w:rFonts w:eastAsia="Century Gothic" w:cs="Century Gothic"/>
          <w:color w:val="auto"/>
          <w:sz w:val="24"/>
          <w:szCs w:val="22"/>
          <w:lang w:val="en-AU" w:bidi="en-AU"/>
        </w:rPr>
        <w:t>has</w:t>
      </w:r>
      <w:r w:rsidR="00BD1BEB" w:rsidRPr="00C73924">
        <w:rPr>
          <w:rFonts w:eastAsia="Century Gothic" w:cs="Century Gothic"/>
          <w:color w:val="auto"/>
          <w:sz w:val="24"/>
          <w:szCs w:val="22"/>
          <w:lang w:val="en-AU" w:bidi="en-AU"/>
        </w:rPr>
        <w:t xml:space="preserve"> under 15 years residential land supply</w:t>
      </w:r>
      <w:r w:rsidR="00931D2B">
        <w:rPr>
          <w:rFonts w:eastAsia="Century Gothic" w:cs="Century Gothic"/>
          <w:color w:val="auto"/>
          <w:sz w:val="24"/>
          <w:szCs w:val="22"/>
          <w:lang w:val="en-AU" w:bidi="en-AU"/>
        </w:rPr>
        <w:t xml:space="preserve"> and t</w:t>
      </w:r>
      <w:r w:rsidR="00BD1BEB" w:rsidRPr="00C73924">
        <w:rPr>
          <w:rFonts w:eastAsia="Century Gothic" w:cs="Century Gothic"/>
          <w:color w:val="auto"/>
          <w:sz w:val="24"/>
          <w:szCs w:val="22"/>
          <w:lang w:val="en-AU" w:bidi="en-AU"/>
        </w:rPr>
        <w:t xml:space="preserve">here is currently a significant undersupply of vacant lots under 1,000sqm that are relatively flat. The subject land will form an important part of relieving the township’s current undersupply of affordable building sites. </w:t>
      </w:r>
    </w:p>
    <w:p w14:paraId="5499B44C" w14:textId="78511CF5" w:rsidR="00924AAF"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16.01-2S ‘Housing Affordability’</w:t>
      </w:r>
      <w:r w:rsidRPr="00C73924">
        <w:rPr>
          <w:rFonts w:eastAsia="Century Gothic" w:cs="Century Gothic"/>
          <w:color w:val="auto"/>
          <w:sz w:val="24"/>
          <w:szCs w:val="22"/>
          <w:lang w:val="en-AU" w:bidi="en-AU"/>
        </w:rPr>
        <w:t xml:space="preserve"> by providing a lot-mix to accommodate a range of housing typologies, including conventional allotments and </w:t>
      </w:r>
      <w:r w:rsidR="006F4AB7">
        <w:rPr>
          <w:rFonts w:eastAsia="Century Gothic" w:cs="Century Gothic"/>
          <w:color w:val="auto"/>
          <w:sz w:val="24"/>
          <w:szCs w:val="22"/>
          <w:lang w:val="en-AU" w:bidi="en-AU"/>
        </w:rPr>
        <w:t>larger</w:t>
      </w:r>
      <w:r w:rsidRPr="00C73924">
        <w:rPr>
          <w:rFonts w:eastAsia="Century Gothic" w:cs="Century Gothic"/>
          <w:color w:val="auto"/>
          <w:sz w:val="24"/>
          <w:szCs w:val="22"/>
          <w:lang w:val="en-AU" w:bidi="en-AU"/>
        </w:rPr>
        <w:t xml:space="preserve"> lifestyle allotments.</w:t>
      </w:r>
    </w:p>
    <w:p w14:paraId="404CF646" w14:textId="6F525436" w:rsidR="00924AAF" w:rsidRPr="006F4AB7" w:rsidRDefault="00924AAF" w:rsidP="006F4AB7">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18.01-2R ‘Transport System – Gippsland’</w:t>
      </w:r>
      <w:r w:rsidRPr="00C73924">
        <w:rPr>
          <w:rFonts w:eastAsia="Century Gothic" w:cs="Century Gothic"/>
          <w:color w:val="auto"/>
          <w:sz w:val="24"/>
          <w:szCs w:val="22"/>
          <w:lang w:val="en-AU" w:bidi="en-AU"/>
        </w:rPr>
        <w:t xml:space="preserve"> by delivering a road network that is logical and efficient.</w:t>
      </w:r>
      <w:r w:rsidR="00BD1BEB" w:rsidRPr="00C73924">
        <w:rPr>
          <w:rFonts w:eastAsia="Century Gothic" w:cs="Century Gothic"/>
          <w:color w:val="auto"/>
          <w:sz w:val="24"/>
          <w:szCs w:val="22"/>
          <w:lang w:val="en-AU" w:bidi="en-AU"/>
        </w:rPr>
        <w:t xml:space="preserve"> Parr Street is a </w:t>
      </w:r>
      <w:proofErr w:type="gramStart"/>
      <w:r w:rsidR="00BD1BEB" w:rsidRPr="00C73924">
        <w:rPr>
          <w:rFonts w:eastAsia="Century Gothic" w:cs="Century Gothic"/>
          <w:color w:val="auto"/>
          <w:sz w:val="24"/>
          <w:szCs w:val="22"/>
          <w:lang w:val="en-AU" w:bidi="en-AU"/>
        </w:rPr>
        <w:t>Council road</w:t>
      </w:r>
      <w:proofErr w:type="gramEnd"/>
      <w:r w:rsidR="00BD1BEB" w:rsidRPr="00C73924">
        <w:rPr>
          <w:rFonts w:eastAsia="Century Gothic" w:cs="Century Gothic"/>
          <w:color w:val="auto"/>
          <w:sz w:val="24"/>
          <w:szCs w:val="22"/>
          <w:lang w:val="en-AU" w:bidi="en-AU"/>
        </w:rPr>
        <w:t>. The Department of Transport have been consulted and have no specific planning permit requirements. The proposed subdivision does not, of itself, require upgrading of the intersection of Parr Street and the South Gippsland Highway. If a bus service is to be provided to the area in the future it is l</w:t>
      </w:r>
      <w:r w:rsidR="006F4AB7">
        <w:rPr>
          <w:rFonts w:eastAsia="Century Gothic" w:cs="Century Gothic"/>
          <w:color w:val="auto"/>
          <w:sz w:val="24"/>
          <w:szCs w:val="22"/>
          <w:lang w:val="en-AU" w:bidi="en-AU"/>
        </w:rPr>
        <w:t>ogical that</w:t>
      </w:r>
      <w:r w:rsidR="00BD1BEB" w:rsidRPr="00C73924">
        <w:rPr>
          <w:rFonts w:eastAsia="Century Gothic" w:cs="Century Gothic"/>
          <w:color w:val="auto"/>
          <w:sz w:val="24"/>
          <w:szCs w:val="22"/>
          <w:lang w:val="en-AU" w:bidi="en-AU"/>
        </w:rPr>
        <w:t xml:space="preserve"> Tarwin Ridge Boulevard (west of the subject land) will provide the route and not the subject land. </w:t>
      </w:r>
      <w:r w:rsidR="002275F4" w:rsidRPr="00C73924">
        <w:rPr>
          <w:rFonts w:eastAsia="Century Gothic" w:cs="Century Gothic"/>
          <w:color w:val="auto"/>
          <w:sz w:val="24"/>
          <w:szCs w:val="22"/>
          <w:lang w:val="en-AU" w:bidi="en-AU"/>
        </w:rPr>
        <w:t xml:space="preserve">The subject land has multiple road &amp; pedestrian linkages to the existing adjoining network with the subdivision of the land requiring the construction of a shared pathway in Parr Street adjoining the subject land. </w:t>
      </w:r>
    </w:p>
    <w:p w14:paraId="73F3B627" w14:textId="42F580CB" w:rsidR="002275F4" w:rsidRPr="00C73924" w:rsidRDefault="002275F4"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19.02-6S ‘Open Space’</w:t>
      </w:r>
      <w:r w:rsidRPr="00C73924">
        <w:rPr>
          <w:rFonts w:eastAsia="Century Gothic" w:cs="Century Gothic"/>
          <w:color w:val="auto"/>
          <w:sz w:val="24"/>
          <w:szCs w:val="22"/>
          <w:lang w:val="en-AU" w:bidi="en-AU"/>
        </w:rPr>
        <w:t xml:space="preserve"> by providing excellent connectivity with the existing open space reserve on Tarwin Ridge Boulevard and </w:t>
      </w:r>
      <w:r w:rsidR="006E27E1" w:rsidRPr="00C73924">
        <w:rPr>
          <w:rFonts w:eastAsia="Century Gothic" w:cs="Century Gothic"/>
          <w:color w:val="auto"/>
          <w:sz w:val="24"/>
          <w:szCs w:val="22"/>
          <w:lang w:val="en-AU" w:bidi="en-AU"/>
        </w:rPr>
        <w:t xml:space="preserve">the proposed drainage reserve on the subject land that can be used for passive recreation. </w:t>
      </w:r>
    </w:p>
    <w:p w14:paraId="3AA3CCD2" w14:textId="77652B83" w:rsidR="006E27E1" w:rsidRPr="00C73924" w:rsidRDefault="00924AAF"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19.03-1S ‘Development and Infrastructure Contributions Plans’</w:t>
      </w:r>
      <w:r w:rsidRPr="00C73924">
        <w:rPr>
          <w:rFonts w:eastAsia="Century Gothic" w:cs="Century Gothic"/>
          <w:color w:val="auto"/>
          <w:sz w:val="24"/>
          <w:szCs w:val="22"/>
          <w:lang w:val="en-AU" w:bidi="en-AU"/>
        </w:rPr>
        <w:t xml:space="preserve"> by entering into a Section 173 Agreement to facilitate contributions towards higher order infrastructure.</w:t>
      </w:r>
    </w:p>
    <w:p w14:paraId="4E6A0A2D" w14:textId="4EB00F54" w:rsidR="00AA2BD7" w:rsidRPr="00C73924" w:rsidRDefault="006E27E1" w:rsidP="00C73924">
      <w:pPr>
        <w:pStyle w:val="Bullet1"/>
        <w:numPr>
          <w:ilvl w:val="0"/>
          <w:numId w:val="26"/>
        </w:numPr>
        <w:tabs>
          <w:tab w:val="left" w:pos="567"/>
        </w:tabs>
        <w:ind w:left="567" w:hanging="567"/>
        <w:jc w:val="both"/>
        <w:rPr>
          <w:rFonts w:eastAsia="Century Gothic" w:cs="Century Gothic"/>
          <w:color w:val="auto"/>
          <w:sz w:val="24"/>
          <w:szCs w:val="22"/>
          <w:lang w:val="en-AU" w:bidi="en-AU"/>
        </w:rPr>
      </w:pPr>
      <w:r w:rsidRPr="007E1F95">
        <w:rPr>
          <w:rFonts w:eastAsia="Century Gothic" w:cs="Century Gothic"/>
          <w:b/>
          <w:bCs/>
          <w:color w:val="auto"/>
          <w:sz w:val="24"/>
          <w:szCs w:val="22"/>
          <w:lang w:val="en-AU" w:bidi="en-AU"/>
        </w:rPr>
        <w:t>Clause 19.03-2</w:t>
      </w:r>
      <w:r w:rsidR="00AA2BD7" w:rsidRPr="007E1F95">
        <w:rPr>
          <w:rFonts w:eastAsia="Century Gothic" w:cs="Century Gothic"/>
          <w:b/>
          <w:bCs/>
          <w:color w:val="auto"/>
          <w:sz w:val="24"/>
          <w:szCs w:val="22"/>
          <w:lang w:val="en-AU" w:bidi="en-AU"/>
        </w:rPr>
        <w:t>L</w:t>
      </w:r>
      <w:r w:rsidRPr="007E1F95">
        <w:rPr>
          <w:rFonts w:eastAsia="Century Gothic" w:cs="Century Gothic"/>
          <w:b/>
          <w:bCs/>
          <w:color w:val="auto"/>
          <w:sz w:val="24"/>
          <w:szCs w:val="22"/>
          <w:lang w:val="en-AU" w:bidi="en-AU"/>
        </w:rPr>
        <w:t xml:space="preserve"> ‘Infrastructure design and provision’</w:t>
      </w:r>
      <w:r w:rsidRPr="00C73924">
        <w:rPr>
          <w:rFonts w:eastAsia="Century Gothic" w:cs="Century Gothic"/>
          <w:color w:val="auto"/>
          <w:sz w:val="24"/>
          <w:szCs w:val="22"/>
          <w:lang w:val="en-AU" w:bidi="en-AU"/>
        </w:rPr>
        <w:t xml:space="preserve"> by assessing and approving the development in accordance with the requirements of Clause 56 and the provisions of the Infrastructure Design Manual. </w:t>
      </w:r>
    </w:p>
    <w:p w14:paraId="34B2E78E" w14:textId="2AF42765" w:rsidR="00AA2BD7" w:rsidRPr="00924AAF" w:rsidRDefault="00AA2BD7" w:rsidP="00C73924">
      <w:pPr>
        <w:pStyle w:val="Bullet1"/>
        <w:numPr>
          <w:ilvl w:val="0"/>
          <w:numId w:val="26"/>
        </w:numPr>
        <w:tabs>
          <w:tab w:val="left" w:pos="567"/>
        </w:tabs>
        <w:ind w:left="567" w:hanging="567"/>
        <w:jc w:val="both"/>
      </w:pPr>
      <w:r w:rsidRPr="007E1F95">
        <w:rPr>
          <w:rFonts w:eastAsia="Century Gothic" w:cs="Century Gothic"/>
          <w:b/>
          <w:bCs/>
          <w:color w:val="auto"/>
          <w:sz w:val="24"/>
          <w:szCs w:val="22"/>
          <w:lang w:val="en-AU" w:bidi="en-AU"/>
        </w:rPr>
        <w:t>Clause 19.03-3L ‘Integrated water management’</w:t>
      </w:r>
      <w:r w:rsidRPr="00C73924">
        <w:rPr>
          <w:rFonts w:eastAsia="Century Gothic" w:cs="Century Gothic"/>
          <w:color w:val="auto"/>
          <w:sz w:val="24"/>
          <w:szCs w:val="22"/>
          <w:lang w:val="en-AU" w:bidi="en-AU"/>
        </w:rPr>
        <w:t xml:space="preserve"> by the provision of a high quality ‘end of system’ </w:t>
      </w:r>
      <w:r w:rsidR="00B17475" w:rsidRPr="00C73924">
        <w:rPr>
          <w:rFonts w:eastAsia="Century Gothic" w:cs="Century Gothic"/>
          <w:color w:val="auto"/>
          <w:sz w:val="24"/>
          <w:szCs w:val="22"/>
          <w:lang w:val="en-AU" w:bidi="en-AU"/>
        </w:rPr>
        <w:t>lagoon-based</w:t>
      </w:r>
      <w:r w:rsidRPr="00C73924">
        <w:rPr>
          <w:rFonts w:eastAsia="Century Gothic" w:cs="Century Gothic"/>
          <w:color w:val="auto"/>
          <w:sz w:val="24"/>
          <w:szCs w:val="22"/>
          <w:lang w:val="en-AU" w:bidi="en-AU"/>
        </w:rPr>
        <w:t xml:space="preserve"> stormwater management system in combination with a requirement that each dwelling have a </w:t>
      </w:r>
      <w:proofErr w:type="gramStart"/>
      <w:r w:rsidRPr="00C73924">
        <w:rPr>
          <w:rFonts w:eastAsia="Century Gothic" w:cs="Century Gothic"/>
          <w:color w:val="auto"/>
          <w:sz w:val="24"/>
          <w:szCs w:val="22"/>
          <w:lang w:val="en-AU" w:bidi="en-AU"/>
        </w:rPr>
        <w:t>rain water</w:t>
      </w:r>
      <w:proofErr w:type="gramEnd"/>
      <w:r w:rsidRPr="00C73924">
        <w:rPr>
          <w:rFonts w:eastAsia="Century Gothic" w:cs="Century Gothic"/>
          <w:color w:val="auto"/>
          <w:sz w:val="24"/>
          <w:szCs w:val="22"/>
          <w:lang w:val="en-AU" w:bidi="en-AU"/>
        </w:rPr>
        <w:t xml:space="preserve"> tank to supplement domestic water use.</w:t>
      </w:r>
    </w:p>
    <w:p w14:paraId="3514FDF9" w14:textId="415E567B" w:rsidR="00A15C2E" w:rsidRPr="007B5E05" w:rsidRDefault="00A15C2E" w:rsidP="00924AAF">
      <w:pPr>
        <w:pStyle w:val="Bulletlist"/>
        <w:numPr>
          <w:ilvl w:val="0"/>
          <w:numId w:val="0"/>
        </w:numPr>
        <w:ind w:left="360" w:hanging="360"/>
        <w:rPr>
          <w:color w:val="44546A" w:themeColor="text2"/>
          <w:highlight w:val="lightGray"/>
        </w:rPr>
      </w:pPr>
    </w:p>
    <w:p w14:paraId="1397C8BC" w14:textId="111274C3" w:rsidR="00215840" w:rsidRDefault="00A15C2E" w:rsidP="00215840">
      <w:pPr>
        <w:pStyle w:val="Heading3"/>
      </w:pPr>
      <w:r>
        <w:t>How does the amendment support or implement the Municipal Planning Strategy?</w:t>
      </w:r>
    </w:p>
    <w:p w14:paraId="40FCA119" w14:textId="77777777" w:rsidR="00215840" w:rsidRDefault="00215840" w:rsidP="00215840">
      <w:pPr>
        <w:pStyle w:val="Bullet1"/>
        <w:numPr>
          <w:ilvl w:val="0"/>
          <w:numId w:val="0"/>
        </w:numPr>
        <w:spacing w:after="0"/>
        <w:jc w:val="both"/>
      </w:pPr>
    </w:p>
    <w:p w14:paraId="36BD1CE4" w14:textId="72733EC7" w:rsidR="00215840" w:rsidRPr="00C73924" w:rsidRDefault="00215840" w:rsidP="00215840">
      <w:pPr>
        <w:pStyle w:val="Bullet1"/>
        <w:numPr>
          <w:ilvl w:val="0"/>
          <w:numId w:val="0"/>
        </w:numPr>
        <w:spacing w:after="0"/>
        <w:jc w:val="both"/>
        <w:rPr>
          <w:sz w:val="24"/>
          <w:szCs w:val="24"/>
        </w:rPr>
      </w:pPr>
      <w:r w:rsidRPr="00C73924">
        <w:rPr>
          <w:sz w:val="24"/>
          <w:szCs w:val="24"/>
        </w:rPr>
        <w:t xml:space="preserve">The </w:t>
      </w:r>
      <w:r w:rsidR="000848B4">
        <w:rPr>
          <w:sz w:val="24"/>
          <w:szCs w:val="24"/>
        </w:rPr>
        <w:t>a</w:t>
      </w:r>
      <w:r w:rsidRPr="00C73924">
        <w:rPr>
          <w:sz w:val="24"/>
          <w:szCs w:val="24"/>
        </w:rPr>
        <w:t xml:space="preserve">mendment seeks to support and implement the Municipal Planning Strategy through complying with the general strategies outlined within </w:t>
      </w:r>
      <w:r w:rsidRPr="007E1F95">
        <w:rPr>
          <w:b/>
          <w:bCs/>
          <w:sz w:val="24"/>
          <w:szCs w:val="24"/>
        </w:rPr>
        <w:t>Clause 02.03-1 ‘Settlement – Principal Centre – Leongatha’</w:t>
      </w:r>
      <w:r w:rsidRPr="00C73924">
        <w:rPr>
          <w:sz w:val="24"/>
          <w:szCs w:val="24"/>
        </w:rPr>
        <w:t xml:space="preserve"> including:</w:t>
      </w:r>
    </w:p>
    <w:p w14:paraId="100A2462" w14:textId="77777777" w:rsidR="00215840" w:rsidRPr="00C73924" w:rsidRDefault="00215840" w:rsidP="00215840">
      <w:pPr>
        <w:pStyle w:val="Bullet1"/>
        <w:numPr>
          <w:ilvl w:val="0"/>
          <w:numId w:val="0"/>
        </w:numPr>
        <w:spacing w:after="0"/>
        <w:jc w:val="both"/>
        <w:rPr>
          <w:sz w:val="24"/>
          <w:szCs w:val="24"/>
        </w:rPr>
      </w:pPr>
    </w:p>
    <w:p w14:paraId="70227700" w14:textId="77777777" w:rsidR="00215840" w:rsidRPr="007E1F95" w:rsidRDefault="00215840" w:rsidP="00C73924">
      <w:pPr>
        <w:pStyle w:val="Bullet1"/>
        <w:numPr>
          <w:ilvl w:val="0"/>
          <w:numId w:val="26"/>
        </w:numPr>
        <w:tabs>
          <w:tab w:val="left" w:pos="567"/>
        </w:tabs>
        <w:ind w:left="567" w:hanging="567"/>
        <w:jc w:val="both"/>
        <w:rPr>
          <w:rFonts w:eastAsia="Century Gothic" w:cs="Century Gothic"/>
          <w:i/>
          <w:iCs/>
          <w:color w:val="auto"/>
          <w:sz w:val="24"/>
          <w:szCs w:val="22"/>
          <w:lang w:val="en-AU" w:bidi="en-AU"/>
        </w:rPr>
      </w:pPr>
      <w:r w:rsidRPr="007E1F95">
        <w:rPr>
          <w:rFonts w:eastAsia="Century Gothic" w:cs="Century Gothic"/>
          <w:i/>
          <w:iCs/>
          <w:color w:val="auto"/>
          <w:sz w:val="24"/>
          <w:szCs w:val="22"/>
          <w:lang w:val="en-AU" w:bidi="en-AU"/>
        </w:rPr>
        <w:t xml:space="preserve">Promote Leongatha as the principal regional service centre in the Shire. </w:t>
      </w:r>
    </w:p>
    <w:p w14:paraId="753C2C10" w14:textId="2A20F868" w:rsidR="00215840" w:rsidRPr="007E1F95" w:rsidRDefault="00215840" w:rsidP="00C73924">
      <w:pPr>
        <w:pStyle w:val="Bullet1"/>
        <w:numPr>
          <w:ilvl w:val="0"/>
          <w:numId w:val="26"/>
        </w:numPr>
        <w:tabs>
          <w:tab w:val="left" w:pos="567"/>
        </w:tabs>
        <w:ind w:left="567" w:hanging="567"/>
        <w:jc w:val="both"/>
        <w:rPr>
          <w:rFonts w:eastAsia="Century Gothic" w:cs="Century Gothic"/>
          <w:i/>
          <w:iCs/>
          <w:color w:val="auto"/>
          <w:sz w:val="24"/>
          <w:szCs w:val="22"/>
          <w:lang w:val="en-AU" w:bidi="en-AU"/>
        </w:rPr>
      </w:pPr>
      <w:r w:rsidRPr="007E1F95">
        <w:rPr>
          <w:rFonts w:eastAsia="Century Gothic" w:cs="Century Gothic"/>
          <w:i/>
          <w:iCs/>
          <w:color w:val="auto"/>
          <w:sz w:val="24"/>
          <w:szCs w:val="22"/>
          <w:lang w:val="en-AU" w:bidi="en-AU"/>
        </w:rPr>
        <w:lastRenderedPageBreak/>
        <w:t xml:space="preserve">Support housing growth, the provision of </w:t>
      </w:r>
      <w:r w:rsidR="00B17475" w:rsidRPr="007E1F95">
        <w:rPr>
          <w:rFonts w:eastAsia="Century Gothic" w:cs="Century Gothic"/>
          <w:i/>
          <w:iCs/>
          <w:color w:val="auto"/>
          <w:sz w:val="24"/>
          <w:szCs w:val="22"/>
          <w:lang w:val="en-AU" w:bidi="en-AU"/>
        </w:rPr>
        <w:t>higher-level</w:t>
      </w:r>
      <w:r w:rsidRPr="007E1F95">
        <w:rPr>
          <w:rFonts w:eastAsia="Century Gothic" w:cs="Century Gothic"/>
          <w:i/>
          <w:iCs/>
          <w:color w:val="auto"/>
          <w:sz w:val="24"/>
          <w:szCs w:val="22"/>
          <w:lang w:val="en-AU" w:bidi="en-AU"/>
        </w:rPr>
        <w:t xml:space="preserve"> community services and economic development. </w:t>
      </w:r>
    </w:p>
    <w:p w14:paraId="207365C3" w14:textId="77777777" w:rsidR="00215840" w:rsidRPr="007E1F95" w:rsidRDefault="00215840" w:rsidP="00C73924">
      <w:pPr>
        <w:pStyle w:val="Bullet1"/>
        <w:numPr>
          <w:ilvl w:val="0"/>
          <w:numId w:val="26"/>
        </w:numPr>
        <w:tabs>
          <w:tab w:val="left" w:pos="567"/>
        </w:tabs>
        <w:ind w:left="567" w:hanging="567"/>
        <w:jc w:val="both"/>
        <w:rPr>
          <w:i/>
          <w:iCs/>
          <w:sz w:val="24"/>
          <w:szCs w:val="24"/>
        </w:rPr>
      </w:pPr>
      <w:r w:rsidRPr="007E1F95">
        <w:rPr>
          <w:rFonts w:eastAsia="Century Gothic" w:cs="Century Gothic"/>
          <w:i/>
          <w:iCs/>
          <w:color w:val="auto"/>
          <w:sz w:val="24"/>
          <w:szCs w:val="22"/>
          <w:lang w:val="en-AU" w:bidi="en-AU"/>
        </w:rPr>
        <w:t>Maintain</w:t>
      </w:r>
      <w:r w:rsidRPr="007E1F95">
        <w:rPr>
          <w:i/>
          <w:iCs/>
          <w:sz w:val="24"/>
          <w:szCs w:val="24"/>
        </w:rPr>
        <w:t xml:space="preserve"> the Town Centre as the hub for retail and service uses.</w:t>
      </w:r>
    </w:p>
    <w:p w14:paraId="0613BEBD" w14:textId="0AEFED6E" w:rsidR="00215840" w:rsidRPr="00C73924" w:rsidRDefault="00215840" w:rsidP="00215840">
      <w:pPr>
        <w:pStyle w:val="Bullet1"/>
        <w:numPr>
          <w:ilvl w:val="0"/>
          <w:numId w:val="0"/>
        </w:numPr>
        <w:jc w:val="both"/>
        <w:rPr>
          <w:sz w:val="24"/>
          <w:szCs w:val="24"/>
        </w:rPr>
      </w:pPr>
      <w:r w:rsidRPr="00C73924">
        <w:rPr>
          <w:sz w:val="24"/>
          <w:szCs w:val="24"/>
        </w:rPr>
        <w:t>Specifically, the South Gippsland housing strategies within the Municipal Planning Strategy include:</w:t>
      </w:r>
    </w:p>
    <w:p w14:paraId="3E89046B" w14:textId="77777777" w:rsidR="00215840" w:rsidRPr="007E1F95" w:rsidRDefault="00215840" w:rsidP="00C73924">
      <w:pPr>
        <w:pStyle w:val="Bullet1"/>
        <w:numPr>
          <w:ilvl w:val="0"/>
          <w:numId w:val="26"/>
        </w:numPr>
        <w:tabs>
          <w:tab w:val="left" w:pos="567"/>
        </w:tabs>
        <w:ind w:left="567" w:hanging="567"/>
        <w:jc w:val="both"/>
        <w:rPr>
          <w:i/>
          <w:iCs/>
          <w:sz w:val="24"/>
          <w:szCs w:val="24"/>
        </w:rPr>
      </w:pPr>
      <w:r w:rsidRPr="007E1F95">
        <w:rPr>
          <w:i/>
          <w:iCs/>
          <w:sz w:val="24"/>
          <w:szCs w:val="24"/>
        </w:rPr>
        <w:t>Accommodate housing growth that is sustainable and sympathetic to:</w:t>
      </w:r>
    </w:p>
    <w:p w14:paraId="297B59B5" w14:textId="77777777" w:rsidR="00215840" w:rsidRPr="007E1F95" w:rsidRDefault="00215840" w:rsidP="00215840">
      <w:pPr>
        <w:pStyle w:val="Bullet1"/>
        <w:numPr>
          <w:ilvl w:val="1"/>
          <w:numId w:val="31"/>
        </w:numPr>
        <w:jc w:val="both"/>
        <w:rPr>
          <w:i/>
          <w:iCs/>
          <w:sz w:val="24"/>
          <w:szCs w:val="24"/>
        </w:rPr>
      </w:pPr>
      <w:r w:rsidRPr="007E1F95">
        <w:rPr>
          <w:i/>
          <w:iCs/>
          <w:sz w:val="24"/>
          <w:szCs w:val="24"/>
        </w:rPr>
        <w:t>The hierarchy and existing character of the Shire’s settlements.</w:t>
      </w:r>
    </w:p>
    <w:p w14:paraId="7C2D509D" w14:textId="77777777" w:rsidR="00215840" w:rsidRPr="007E1F95" w:rsidRDefault="00215840" w:rsidP="00215840">
      <w:pPr>
        <w:pStyle w:val="Bullet1"/>
        <w:numPr>
          <w:ilvl w:val="1"/>
          <w:numId w:val="31"/>
        </w:numPr>
        <w:jc w:val="both"/>
        <w:rPr>
          <w:i/>
          <w:iCs/>
          <w:sz w:val="24"/>
          <w:szCs w:val="24"/>
        </w:rPr>
      </w:pPr>
      <w:r w:rsidRPr="007E1F95">
        <w:rPr>
          <w:i/>
          <w:iCs/>
          <w:sz w:val="24"/>
          <w:szCs w:val="24"/>
        </w:rPr>
        <w:t>The availability and capacity of infrastructure and commercial, community and transport services.</w:t>
      </w:r>
    </w:p>
    <w:p w14:paraId="717A8B65" w14:textId="77777777" w:rsidR="00215840" w:rsidRPr="007E1F95" w:rsidRDefault="00215840" w:rsidP="00215840">
      <w:pPr>
        <w:pStyle w:val="Bullet1"/>
        <w:numPr>
          <w:ilvl w:val="1"/>
          <w:numId w:val="31"/>
        </w:numPr>
        <w:jc w:val="both"/>
        <w:rPr>
          <w:i/>
          <w:iCs/>
          <w:sz w:val="24"/>
          <w:szCs w:val="24"/>
        </w:rPr>
      </w:pPr>
      <w:r w:rsidRPr="007E1F95">
        <w:rPr>
          <w:i/>
          <w:iCs/>
          <w:sz w:val="24"/>
          <w:szCs w:val="24"/>
        </w:rPr>
        <w:t>Significant environmental features and landscapes.</w:t>
      </w:r>
    </w:p>
    <w:p w14:paraId="0542A558" w14:textId="77777777" w:rsidR="00215840" w:rsidRPr="007E1F95" w:rsidRDefault="00215840" w:rsidP="00215840">
      <w:pPr>
        <w:pStyle w:val="Bullet1"/>
        <w:numPr>
          <w:ilvl w:val="1"/>
          <w:numId w:val="31"/>
        </w:numPr>
        <w:jc w:val="both"/>
        <w:rPr>
          <w:i/>
          <w:iCs/>
          <w:sz w:val="24"/>
          <w:szCs w:val="24"/>
        </w:rPr>
      </w:pPr>
      <w:r w:rsidRPr="007E1F95">
        <w:rPr>
          <w:i/>
          <w:iCs/>
          <w:sz w:val="24"/>
          <w:szCs w:val="24"/>
        </w:rPr>
        <w:t>Continuation of commercial agriculture in rural areas.</w:t>
      </w:r>
    </w:p>
    <w:p w14:paraId="68CDD9FD" w14:textId="77777777" w:rsidR="00215840" w:rsidRPr="007E1F95" w:rsidRDefault="00215840" w:rsidP="00C73924">
      <w:pPr>
        <w:pStyle w:val="Bullet1"/>
        <w:numPr>
          <w:ilvl w:val="0"/>
          <w:numId w:val="26"/>
        </w:numPr>
        <w:tabs>
          <w:tab w:val="left" w:pos="567"/>
        </w:tabs>
        <w:ind w:left="567" w:hanging="567"/>
        <w:jc w:val="both"/>
        <w:rPr>
          <w:i/>
          <w:iCs/>
          <w:sz w:val="24"/>
          <w:szCs w:val="24"/>
        </w:rPr>
      </w:pPr>
      <w:r w:rsidRPr="007E1F95">
        <w:rPr>
          <w:i/>
          <w:iCs/>
          <w:sz w:val="24"/>
          <w:szCs w:val="24"/>
        </w:rPr>
        <w:t>Encourage diversity in dwelling type, size, adaptability and accessibility to provide greater choice and affordability to suit a range of needs.</w:t>
      </w:r>
    </w:p>
    <w:p w14:paraId="3C30A184" w14:textId="53B3D967" w:rsidR="00215840" w:rsidRPr="00C73924" w:rsidRDefault="00215840" w:rsidP="00215840">
      <w:pPr>
        <w:pStyle w:val="Bullet1"/>
        <w:numPr>
          <w:ilvl w:val="0"/>
          <w:numId w:val="0"/>
        </w:numPr>
        <w:jc w:val="both"/>
        <w:rPr>
          <w:sz w:val="24"/>
          <w:szCs w:val="24"/>
        </w:rPr>
      </w:pPr>
      <w:r w:rsidRPr="00C73924">
        <w:rPr>
          <w:sz w:val="24"/>
          <w:szCs w:val="24"/>
        </w:rPr>
        <w:t xml:space="preserve">Furthermore, the amendment supports the implementation of </w:t>
      </w:r>
      <w:r w:rsidRPr="007E1F95">
        <w:rPr>
          <w:sz w:val="24"/>
          <w:szCs w:val="24"/>
        </w:rPr>
        <w:t>Clause 02.03-1 – Strategic Directions – Settlement, Clause 11.01-1R – Settlement – Gippsland, Clause 11.01-1L-02 – Leongatha and Clause 11.01-1L-03 – Southern Leongatha Growth Area</w:t>
      </w:r>
      <w:r w:rsidRPr="00C73924">
        <w:rPr>
          <w:sz w:val="24"/>
          <w:szCs w:val="24"/>
        </w:rPr>
        <w:t xml:space="preserve"> </w:t>
      </w:r>
      <w:r w:rsidR="006B03E0">
        <w:rPr>
          <w:sz w:val="24"/>
          <w:szCs w:val="24"/>
        </w:rPr>
        <w:t>by</w:t>
      </w:r>
      <w:r w:rsidR="006B03E0" w:rsidRPr="00C73924">
        <w:rPr>
          <w:sz w:val="24"/>
          <w:szCs w:val="24"/>
        </w:rPr>
        <w:t xml:space="preserve"> </w:t>
      </w:r>
      <w:r w:rsidRPr="00C73924">
        <w:rPr>
          <w:sz w:val="24"/>
          <w:szCs w:val="24"/>
        </w:rPr>
        <w:t>rezoning land designated as a growth area for residential purposes.</w:t>
      </w:r>
    </w:p>
    <w:p w14:paraId="19A03445" w14:textId="77777777" w:rsidR="00A15C2E" w:rsidRDefault="00A15C2E" w:rsidP="002A0FE5">
      <w:pPr>
        <w:pStyle w:val="Heading3"/>
      </w:pPr>
      <w:r>
        <w:t>Does the amendment make proper use of the Victoria Planning Provisions?</w:t>
      </w:r>
    </w:p>
    <w:p w14:paraId="7809EDB6" w14:textId="61B27A36" w:rsidR="00215840" w:rsidRPr="00C73924" w:rsidRDefault="00215840" w:rsidP="00215840">
      <w:pPr>
        <w:rPr>
          <w:rFonts w:cs="Arial"/>
          <w:szCs w:val="24"/>
        </w:rPr>
      </w:pPr>
      <w:r w:rsidRPr="00C73924">
        <w:rPr>
          <w:rFonts w:cs="Arial"/>
          <w:szCs w:val="24"/>
        </w:rPr>
        <w:t xml:space="preserve">The amendment is consistent with, and makes proper use of, the Victoria Planning Provisions by applying the General Residential Zone to the subject site. </w:t>
      </w:r>
    </w:p>
    <w:p w14:paraId="2FF15325" w14:textId="5C98FA7C" w:rsidR="00215840" w:rsidRPr="00C73924" w:rsidRDefault="00215840" w:rsidP="00215840">
      <w:pPr>
        <w:rPr>
          <w:rFonts w:cs="Arial"/>
          <w:szCs w:val="24"/>
        </w:rPr>
      </w:pPr>
      <w:r w:rsidRPr="00C73924">
        <w:rPr>
          <w:rFonts w:cs="Arial"/>
          <w:szCs w:val="24"/>
        </w:rPr>
        <w:t>The purpose of the General Residential Zone is as follows:</w:t>
      </w:r>
    </w:p>
    <w:p w14:paraId="72948AE3" w14:textId="661B35BE" w:rsidR="00DE16DF" w:rsidRPr="007E1F95" w:rsidRDefault="00DE16DF" w:rsidP="0042511B">
      <w:pPr>
        <w:pStyle w:val="Bullet1"/>
        <w:numPr>
          <w:ilvl w:val="0"/>
          <w:numId w:val="26"/>
        </w:numPr>
        <w:tabs>
          <w:tab w:val="left" w:pos="567"/>
        </w:tabs>
        <w:ind w:left="567" w:hanging="567"/>
        <w:jc w:val="both"/>
        <w:rPr>
          <w:rFonts w:eastAsia="Century Gothic"/>
          <w:i/>
          <w:iCs/>
          <w:color w:val="auto"/>
          <w:sz w:val="24"/>
          <w:szCs w:val="24"/>
          <w:lang w:bidi="en-AU"/>
        </w:rPr>
      </w:pPr>
      <w:r w:rsidRPr="007E1F95">
        <w:rPr>
          <w:rFonts w:eastAsia="Century Gothic"/>
          <w:i/>
          <w:iCs/>
          <w:color w:val="auto"/>
          <w:sz w:val="24"/>
          <w:szCs w:val="24"/>
          <w:lang w:bidi="en-AU"/>
        </w:rPr>
        <w:t>To implement the Municipal Planning Strategy and the Planning Policy Framework.</w:t>
      </w:r>
    </w:p>
    <w:p w14:paraId="47A11C1A" w14:textId="77777777" w:rsidR="00DE16DF" w:rsidRPr="007E1F95" w:rsidRDefault="00DE16DF" w:rsidP="0042511B">
      <w:pPr>
        <w:pStyle w:val="Bullet1"/>
        <w:numPr>
          <w:ilvl w:val="0"/>
          <w:numId w:val="26"/>
        </w:numPr>
        <w:tabs>
          <w:tab w:val="left" w:pos="567"/>
        </w:tabs>
        <w:ind w:left="567" w:hanging="567"/>
        <w:jc w:val="both"/>
        <w:rPr>
          <w:rFonts w:eastAsia="Century Gothic"/>
          <w:i/>
          <w:iCs/>
          <w:color w:val="auto"/>
          <w:sz w:val="24"/>
          <w:szCs w:val="24"/>
          <w:lang w:bidi="en-AU"/>
        </w:rPr>
      </w:pPr>
      <w:r w:rsidRPr="007E1F95">
        <w:rPr>
          <w:rFonts w:eastAsia="Century Gothic"/>
          <w:i/>
          <w:iCs/>
          <w:color w:val="auto"/>
          <w:sz w:val="24"/>
          <w:szCs w:val="24"/>
          <w:lang w:bidi="en-AU"/>
        </w:rPr>
        <w:t>To encourage development that respects the neighbourhood character of the area.</w:t>
      </w:r>
    </w:p>
    <w:p w14:paraId="0ABFF22E" w14:textId="77777777" w:rsidR="00DE16DF" w:rsidRPr="007E1F95" w:rsidRDefault="00DE16DF" w:rsidP="0042511B">
      <w:pPr>
        <w:pStyle w:val="Bullet1"/>
        <w:numPr>
          <w:ilvl w:val="0"/>
          <w:numId w:val="26"/>
        </w:numPr>
        <w:tabs>
          <w:tab w:val="left" w:pos="567"/>
        </w:tabs>
        <w:ind w:left="567" w:hanging="567"/>
        <w:jc w:val="both"/>
        <w:rPr>
          <w:rFonts w:eastAsia="Century Gothic"/>
          <w:i/>
          <w:iCs/>
          <w:color w:val="auto"/>
          <w:sz w:val="24"/>
          <w:szCs w:val="24"/>
          <w:lang w:bidi="en-AU"/>
        </w:rPr>
      </w:pPr>
      <w:r w:rsidRPr="007E1F95">
        <w:rPr>
          <w:rFonts w:eastAsia="Century Gothic"/>
          <w:i/>
          <w:iCs/>
          <w:color w:val="auto"/>
          <w:sz w:val="24"/>
          <w:szCs w:val="24"/>
          <w:lang w:bidi="en-AU"/>
        </w:rPr>
        <w:t>To encourage a diversity of housing types and housing growth particularly in locations offering good access to services and transport.</w:t>
      </w:r>
    </w:p>
    <w:p w14:paraId="00BA954C" w14:textId="77777777" w:rsidR="00DE16DF" w:rsidRPr="007E1F95" w:rsidRDefault="00DE16DF" w:rsidP="0042511B">
      <w:pPr>
        <w:pStyle w:val="Bullet1"/>
        <w:numPr>
          <w:ilvl w:val="0"/>
          <w:numId w:val="26"/>
        </w:numPr>
        <w:tabs>
          <w:tab w:val="left" w:pos="567"/>
        </w:tabs>
        <w:ind w:left="567" w:hanging="567"/>
        <w:jc w:val="both"/>
        <w:rPr>
          <w:rFonts w:eastAsia="Century Gothic"/>
          <w:i/>
          <w:iCs/>
          <w:color w:val="auto"/>
          <w:sz w:val="24"/>
          <w:szCs w:val="24"/>
          <w:lang w:bidi="en-AU"/>
        </w:rPr>
      </w:pPr>
      <w:r w:rsidRPr="007E1F95">
        <w:rPr>
          <w:rFonts w:eastAsia="Century Gothic"/>
          <w:i/>
          <w:iCs/>
          <w:color w:val="auto"/>
          <w:sz w:val="24"/>
          <w:szCs w:val="24"/>
          <w:lang w:bidi="en-AU"/>
        </w:rPr>
        <w:t>To allow educational, recreational, religious, community and a limited range of other non-residential uses to serve local community needs in appropriate locations.</w:t>
      </w:r>
    </w:p>
    <w:p w14:paraId="329536AD" w14:textId="56E38C91" w:rsidR="00215840" w:rsidRPr="00C73924" w:rsidRDefault="00215840" w:rsidP="0042511B">
      <w:pPr>
        <w:widowControl/>
        <w:autoSpaceDE/>
        <w:autoSpaceDN/>
        <w:spacing w:after="0" w:line="240" w:lineRule="auto"/>
        <w:jc w:val="both"/>
        <w:rPr>
          <w:rFonts w:cs="Arial"/>
          <w:szCs w:val="24"/>
        </w:rPr>
      </w:pPr>
      <w:r w:rsidRPr="00C73924">
        <w:rPr>
          <w:rFonts w:cs="Arial"/>
          <w:szCs w:val="24"/>
        </w:rPr>
        <w:t xml:space="preserve">This purpose is consistent with the envisaged outcomes and nomination of ‘future urban residential’ within the </w:t>
      </w:r>
      <w:r w:rsidRPr="007E1F95">
        <w:rPr>
          <w:rFonts w:cs="Arial"/>
          <w:i/>
          <w:iCs/>
          <w:szCs w:val="24"/>
        </w:rPr>
        <w:t>Southern Leongatha Outline Development Plan</w:t>
      </w:r>
      <w:r w:rsidRPr="00C73924">
        <w:rPr>
          <w:rFonts w:cs="Arial"/>
          <w:szCs w:val="24"/>
        </w:rPr>
        <w:t>.</w:t>
      </w:r>
    </w:p>
    <w:p w14:paraId="215F6284" w14:textId="44FEDB7F" w:rsidR="00215840" w:rsidRPr="00C73924" w:rsidRDefault="00215840" w:rsidP="00215840">
      <w:pPr>
        <w:rPr>
          <w:rFonts w:cs="Arial"/>
          <w:szCs w:val="24"/>
        </w:rPr>
      </w:pPr>
      <w:r w:rsidRPr="00C73924">
        <w:rPr>
          <w:rFonts w:cs="Arial"/>
          <w:szCs w:val="24"/>
        </w:rPr>
        <w:t xml:space="preserve">The application of the General Residential Zone is appropriate given the </w:t>
      </w:r>
      <w:r w:rsidR="00274034" w:rsidRPr="00C73924">
        <w:rPr>
          <w:rFonts w:cs="Arial"/>
          <w:szCs w:val="24"/>
        </w:rPr>
        <w:t>surrounding zoning pattern</w:t>
      </w:r>
      <w:r w:rsidR="0042511B">
        <w:rPr>
          <w:rFonts w:cs="Arial"/>
          <w:szCs w:val="24"/>
        </w:rPr>
        <w:t xml:space="preserve"> and development outcome sought for the subject land. </w:t>
      </w:r>
    </w:p>
    <w:p w14:paraId="13791095" w14:textId="77777777" w:rsidR="00A15C2E" w:rsidRDefault="00A15C2E" w:rsidP="00EA42D7">
      <w:pPr>
        <w:pStyle w:val="Heading3"/>
      </w:pPr>
      <w:r>
        <w:lastRenderedPageBreak/>
        <w:t>How does the amendment address the views of any relevant agency?</w:t>
      </w:r>
    </w:p>
    <w:p w14:paraId="6C2D78B0" w14:textId="316A41BE" w:rsidR="00274034" w:rsidRDefault="00274034" w:rsidP="00B17475">
      <w:pPr>
        <w:pStyle w:val="Heading2"/>
        <w:spacing w:before="240"/>
        <w:rPr>
          <w:rFonts w:cs="Arial"/>
          <w:b w:val="0"/>
          <w:bCs w:val="0"/>
          <w:sz w:val="24"/>
          <w:szCs w:val="24"/>
        </w:rPr>
      </w:pPr>
      <w:r w:rsidRPr="00C73924">
        <w:rPr>
          <w:rFonts w:cs="Arial"/>
          <w:b w:val="0"/>
          <w:bCs w:val="0"/>
          <w:sz w:val="24"/>
          <w:szCs w:val="24"/>
        </w:rPr>
        <w:t xml:space="preserve">The views of relevant agencies have been considered in the preparation of the </w:t>
      </w:r>
      <w:r w:rsidR="00463F58">
        <w:rPr>
          <w:rFonts w:cs="Arial"/>
          <w:b w:val="0"/>
          <w:bCs w:val="0"/>
          <w:sz w:val="24"/>
          <w:szCs w:val="24"/>
        </w:rPr>
        <w:t>a</w:t>
      </w:r>
      <w:r w:rsidRPr="00C73924">
        <w:rPr>
          <w:rFonts w:cs="Arial"/>
          <w:b w:val="0"/>
          <w:bCs w:val="0"/>
          <w:sz w:val="24"/>
          <w:szCs w:val="24"/>
        </w:rPr>
        <w:t xml:space="preserve">mendment including the Country Fire Authority, West Gippsland Catchment Management Authority, South Gippsland Water, Environment Protection Authority, Department of Transport and Ausnet Services. The </w:t>
      </w:r>
      <w:r w:rsidR="0042511B">
        <w:rPr>
          <w:rFonts w:cs="Arial"/>
          <w:b w:val="0"/>
          <w:bCs w:val="0"/>
          <w:sz w:val="24"/>
          <w:szCs w:val="24"/>
        </w:rPr>
        <w:t xml:space="preserve">requirements of these </w:t>
      </w:r>
      <w:r w:rsidRPr="00C73924">
        <w:rPr>
          <w:rFonts w:cs="Arial"/>
          <w:b w:val="0"/>
          <w:bCs w:val="0"/>
          <w:sz w:val="24"/>
          <w:szCs w:val="24"/>
        </w:rPr>
        <w:t xml:space="preserve">agencies have been included in the draft subdivision planning permit conditions. </w:t>
      </w:r>
    </w:p>
    <w:p w14:paraId="7B4F112D" w14:textId="6FB75B00" w:rsidR="00463F58" w:rsidRPr="00463F58" w:rsidRDefault="00463F58" w:rsidP="007E1F95">
      <w:r>
        <w:t>The views of relevant agencies will again be sought as part of the formal exhibition process.</w:t>
      </w:r>
    </w:p>
    <w:p w14:paraId="5740C54D" w14:textId="77777777" w:rsidR="00A15C2E" w:rsidRDefault="00A15C2E" w:rsidP="00B32747">
      <w:pPr>
        <w:pStyle w:val="Heading3"/>
      </w:pPr>
      <w:r>
        <w:t>Does the amendment address relevant requirements of the Transport Integration Act 2010?</w:t>
      </w:r>
    </w:p>
    <w:p w14:paraId="311153FE" w14:textId="77137279" w:rsidR="00A65176" w:rsidRPr="00C73924" w:rsidRDefault="00A65176" w:rsidP="009A4561">
      <w:pPr>
        <w:pStyle w:val="Heading2"/>
        <w:rPr>
          <w:rFonts w:cs="Arial"/>
          <w:b w:val="0"/>
          <w:bCs w:val="0"/>
          <w:sz w:val="24"/>
          <w:szCs w:val="24"/>
        </w:rPr>
      </w:pPr>
      <w:r w:rsidRPr="00C73924">
        <w:rPr>
          <w:rFonts w:cs="Arial"/>
          <w:b w:val="0"/>
          <w:bCs w:val="0"/>
          <w:sz w:val="24"/>
          <w:szCs w:val="24"/>
        </w:rPr>
        <w:t>The amendment contributes to the transport network through the development of vacant land in a growth area that has excellent road</w:t>
      </w:r>
      <w:r w:rsidR="00C154DB">
        <w:rPr>
          <w:rFonts w:cs="Arial"/>
          <w:b w:val="0"/>
          <w:bCs w:val="0"/>
          <w:sz w:val="24"/>
          <w:szCs w:val="24"/>
        </w:rPr>
        <w:t>,</w:t>
      </w:r>
      <w:r w:rsidRPr="00C73924">
        <w:rPr>
          <w:rFonts w:cs="Arial"/>
          <w:b w:val="0"/>
          <w:bCs w:val="0"/>
          <w:sz w:val="24"/>
          <w:szCs w:val="24"/>
        </w:rPr>
        <w:t xml:space="preserve"> pedestrian </w:t>
      </w:r>
      <w:r w:rsidR="00C154DB">
        <w:rPr>
          <w:rFonts w:cs="Arial"/>
          <w:b w:val="0"/>
          <w:bCs w:val="0"/>
          <w:sz w:val="24"/>
          <w:szCs w:val="24"/>
        </w:rPr>
        <w:t xml:space="preserve">and </w:t>
      </w:r>
      <w:r w:rsidRPr="00C73924">
        <w:rPr>
          <w:rFonts w:cs="Arial"/>
          <w:b w:val="0"/>
          <w:bCs w:val="0"/>
          <w:sz w:val="24"/>
          <w:szCs w:val="24"/>
        </w:rPr>
        <w:t>cycl</w:t>
      </w:r>
      <w:r w:rsidR="00C154DB">
        <w:rPr>
          <w:rFonts w:cs="Arial"/>
          <w:b w:val="0"/>
          <w:bCs w:val="0"/>
          <w:sz w:val="24"/>
          <w:szCs w:val="24"/>
        </w:rPr>
        <w:t>ing</w:t>
      </w:r>
      <w:r w:rsidRPr="00C73924">
        <w:rPr>
          <w:rFonts w:cs="Arial"/>
          <w:b w:val="0"/>
          <w:bCs w:val="0"/>
          <w:sz w:val="24"/>
          <w:szCs w:val="24"/>
        </w:rPr>
        <w:t xml:space="preserve"> integration with surrounding lands and the broader area. Upgrading of </w:t>
      </w:r>
      <w:r w:rsidR="00B17475" w:rsidRPr="00C73924">
        <w:rPr>
          <w:rFonts w:cs="Arial"/>
          <w:b w:val="0"/>
          <w:bCs w:val="0"/>
          <w:sz w:val="24"/>
          <w:szCs w:val="24"/>
        </w:rPr>
        <w:t xml:space="preserve">existing </w:t>
      </w:r>
      <w:r w:rsidRPr="00C73924">
        <w:rPr>
          <w:rFonts w:cs="Arial"/>
          <w:b w:val="0"/>
          <w:bCs w:val="0"/>
          <w:sz w:val="24"/>
          <w:szCs w:val="24"/>
        </w:rPr>
        <w:t>intersections</w:t>
      </w:r>
      <w:r w:rsidR="00B17475" w:rsidRPr="00C73924">
        <w:rPr>
          <w:rFonts w:cs="Arial"/>
          <w:b w:val="0"/>
          <w:bCs w:val="0"/>
          <w:sz w:val="24"/>
          <w:szCs w:val="24"/>
        </w:rPr>
        <w:t xml:space="preserve">, including highway intersections is not required to facilitate the development of the subject land. </w:t>
      </w:r>
      <w:r w:rsidR="001F5B27">
        <w:rPr>
          <w:rFonts w:cs="Arial"/>
          <w:b w:val="0"/>
          <w:bCs w:val="0"/>
          <w:sz w:val="24"/>
          <w:szCs w:val="24"/>
        </w:rPr>
        <w:t xml:space="preserve">The Department of Transport </w:t>
      </w:r>
      <w:r w:rsidR="001F368B">
        <w:rPr>
          <w:rFonts w:cs="Arial"/>
          <w:b w:val="0"/>
          <w:bCs w:val="0"/>
          <w:sz w:val="24"/>
          <w:szCs w:val="24"/>
        </w:rPr>
        <w:t>and Planning (transport division)</w:t>
      </w:r>
      <w:r w:rsidR="001F5B27">
        <w:rPr>
          <w:rFonts w:cs="Arial"/>
          <w:b w:val="0"/>
          <w:bCs w:val="0"/>
          <w:sz w:val="24"/>
          <w:szCs w:val="24"/>
        </w:rPr>
        <w:t xml:space="preserve"> has no planning permit requirements for the subdivision of the land. </w:t>
      </w:r>
    </w:p>
    <w:p w14:paraId="544B578E" w14:textId="44454914" w:rsidR="00A15C2E" w:rsidRDefault="00A15C2E" w:rsidP="009A4561">
      <w:pPr>
        <w:pStyle w:val="Heading2"/>
      </w:pPr>
      <w:r>
        <w:t>Resource and administrative costs</w:t>
      </w:r>
    </w:p>
    <w:p w14:paraId="3A3E8839" w14:textId="6681D0A7" w:rsidR="00C73924" w:rsidRDefault="007E1F95">
      <w:pPr>
        <w:widowControl/>
        <w:autoSpaceDE/>
        <w:autoSpaceDN/>
        <w:spacing w:after="200"/>
        <w:rPr>
          <w:szCs w:val="24"/>
        </w:rPr>
      </w:pPr>
      <w:r>
        <w:rPr>
          <w:rFonts w:cs="Arial"/>
          <w:szCs w:val="24"/>
        </w:rPr>
        <w:t>I</w:t>
      </w:r>
      <w:r w:rsidRPr="007E1F95">
        <w:rPr>
          <w:rFonts w:cs="Arial"/>
          <w:szCs w:val="24"/>
        </w:rPr>
        <w:t xml:space="preserve">t is not anticipated that resource and administrative costs for council will be increased </w:t>
      </w:r>
      <w:proofErr w:type="gramStart"/>
      <w:r w:rsidRPr="007E1F95">
        <w:rPr>
          <w:rFonts w:cs="Arial"/>
          <w:szCs w:val="24"/>
        </w:rPr>
        <w:t>as a result of</w:t>
      </w:r>
      <w:proofErr w:type="gramEnd"/>
      <w:r w:rsidRPr="007E1F95">
        <w:rPr>
          <w:rFonts w:cs="Arial"/>
          <w:szCs w:val="24"/>
        </w:rPr>
        <w:t xml:space="preserve"> the amendment. It is likely that </w:t>
      </w:r>
      <w:proofErr w:type="gramStart"/>
      <w:r w:rsidRPr="007E1F95">
        <w:rPr>
          <w:rFonts w:cs="Arial"/>
          <w:szCs w:val="24"/>
        </w:rPr>
        <w:t>the majority of</w:t>
      </w:r>
      <w:proofErr w:type="gramEnd"/>
      <w:r w:rsidRPr="007E1F95">
        <w:rPr>
          <w:rFonts w:cs="Arial"/>
          <w:szCs w:val="24"/>
        </w:rPr>
        <w:t xml:space="preserve"> the future development (single dwelling on a lot) will not trigger the requirement for a planning permit.</w:t>
      </w:r>
    </w:p>
    <w:p w14:paraId="78B95123" w14:textId="09EC68FC" w:rsidR="00C73924" w:rsidRPr="00C73924" w:rsidRDefault="00C73924" w:rsidP="00C73924">
      <w:pPr>
        <w:widowControl/>
        <w:autoSpaceDE/>
        <w:autoSpaceDN/>
        <w:spacing w:after="200"/>
        <w:jc w:val="center"/>
        <w:rPr>
          <w:szCs w:val="24"/>
        </w:rPr>
      </w:pPr>
    </w:p>
    <w:sectPr w:rsidR="00C73924" w:rsidRPr="00C7392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A4A0C" w14:textId="77777777" w:rsidR="00B402C1" w:rsidRDefault="00B402C1" w:rsidP="007E77A2">
      <w:pPr>
        <w:spacing w:before="0" w:after="0" w:line="240" w:lineRule="auto"/>
      </w:pPr>
      <w:r>
        <w:separator/>
      </w:r>
    </w:p>
  </w:endnote>
  <w:endnote w:type="continuationSeparator" w:id="0">
    <w:p w14:paraId="339BD6E7" w14:textId="77777777" w:rsidR="00B402C1" w:rsidRDefault="00B402C1" w:rsidP="007E77A2">
      <w:pPr>
        <w:spacing w:before="0" w:after="0" w:line="240" w:lineRule="auto"/>
      </w:pPr>
      <w:r>
        <w:continuationSeparator/>
      </w:r>
    </w:p>
  </w:endnote>
  <w:endnote w:type="continuationNotice" w:id="1">
    <w:p w14:paraId="4093E5DE" w14:textId="77777777" w:rsidR="00B402C1" w:rsidRDefault="00B402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0DFA2" w14:textId="77777777" w:rsidR="00206C8F" w:rsidRDefault="00206C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9AB88" w14:textId="3131EBF2" w:rsidR="00A46FEF" w:rsidRDefault="0087341D">
    <w:pPr>
      <w:pStyle w:val="Footer"/>
    </w:pPr>
    <w:r>
      <w:rPr>
        <w:noProof/>
        <w14:ligatures w14:val="standardContextual"/>
      </w:rPr>
      <mc:AlternateContent>
        <mc:Choice Requires="wps">
          <w:drawing>
            <wp:anchor distT="0" distB="0" distL="114300" distR="114300" simplePos="0" relativeHeight="251658240" behindDoc="0" locked="0" layoutInCell="0" allowOverlap="1" wp14:anchorId="63356081" wp14:editId="529BE169">
              <wp:simplePos x="0" y="0"/>
              <wp:positionH relativeFrom="page">
                <wp:posOffset>0</wp:posOffset>
              </wp:positionH>
              <wp:positionV relativeFrom="page">
                <wp:posOffset>10227945</wp:posOffset>
              </wp:positionV>
              <wp:extent cx="7560310" cy="273050"/>
              <wp:effectExtent l="0" t="0" r="0" b="12700"/>
              <wp:wrapNone/>
              <wp:docPr id="3" name="Text Box 3"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B0CA1" w14:textId="7D18959E" w:rsidR="0087341D" w:rsidRPr="0087341D" w:rsidRDefault="0087341D" w:rsidP="0087341D">
                          <w:pPr>
                            <w:spacing w:before="0"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356081" id="_x0000_t202" coordsize="21600,21600" o:spt="202" path="m,l,21600r21600,l21600,xe">
              <v:stroke joinstyle="miter"/>
              <v:path gradientshapeok="t" o:connecttype="rect"/>
            </v:shapetype>
            <v:shape id="Text Box 3" o:spid="_x0000_s1026" type="#_x0000_t202" alt="{&quot;HashCode&quot;:908439540,&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B3B0CA1" w14:textId="7D18959E" w:rsidR="0087341D" w:rsidRPr="0087341D" w:rsidRDefault="0087341D" w:rsidP="0087341D">
                    <w:pPr>
                      <w:spacing w:before="0" w:after="0"/>
                      <w:jc w:val="center"/>
                      <w:rPr>
                        <w:rFonts w:ascii="Calibri" w:hAnsi="Calibri" w:cs="Calibri"/>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B83EC" w14:textId="77777777" w:rsidR="00206C8F" w:rsidRDefault="00206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22665" w14:textId="77777777" w:rsidR="00B402C1" w:rsidRDefault="00B402C1" w:rsidP="007E77A2">
      <w:pPr>
        <w:spacing w:before="0" w:after="0" w:line="240" w:lineRule="auto"/>
      </w:pPr>
      <w:r>
        <w:separator/>
      </w:r>
    </w:p>
  </w:footnote>
  <w:footnote w:type="continuationSeparator" w:id="0">
    <w:p w14:paraId="61643B15" w14:textId="77777777" w:rsidR="00B402C1" w:rsidRDefault="00B402C1" w:rsidP="007E77A2">
      <w:pPr>
        <w:spacing w:before="0" w:after="0" w:line="240" w:lineRule="auto"/>
      </w:pPr>
      <w:r>
        <w:continuationSeparator/>
      </w:r>
    </w:p>
  </w:footnote>
  <w:footnote w:type="continuationNotice" w:id="1">
    <w:p w14:paraId="4D43152B" w14:textId="77777777" w:rsidR="00B402C1" w:rsidRDefault="00B402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F892A" w14:textId="77777777" w:rsidR="00206C8F" w:rsidRDefault="00206C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5B2B7" w14:textId="77777777" w:rsidR="00206C8F" w:rsidRDefault="00206C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5DD50" w14:textId="77777777" w:rsidR="00206C8F" w:rsidRDefault="00206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3DCA1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A622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E024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1A0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8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EEB4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D24B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A8D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4AA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BC3F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21A5B"/>
    <w:multiLevelType w:val="hybridMultilevel"/>
    <w:tmpl w:val="DAE04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0025B2"/>
    <w:multiLevelType w:val="hybridMultilevel"/>
    <w:tmpl w:val="909085FC"/>
    <w:lvl w:ilvl="0" w:tplc="89BC67C6">
      <w:start w:val="1"/>
      <w:numFmt w:val="bullet"/>
      <w:pStyle w:val="Bullet1"/>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11222EA"/>
    <w:multiLevelType w:val="hybridMultilevel"/>
    <w:tmpl w:val="6C30D0CE"/>
    <w:lvl w:ilvl="0" w:tplc="0A5A9AF4">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8D6721"/>
    <w:multiLevelType w:val="hybridMultilevel"/>
    <w:tmpl w:val="CB48331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7255FA"/>
    <w:multiLevelType w:val="hybridMultilevel"/>
    <w:tmpl w:val="5B9E2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2373C9"/>
    <w:multiLevelType w:val="hybridMultilevel"/>
    <w:tmpl w:val="6E86ABA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18336B9"/>
    <w:multiLevelType w:val="hybridMultilevel"/>
    <w:tmpl w:val="B59C9E9C"/>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17" w15:restartNumberingAfterBreak="0">
    <w:nsid w:val="3FF01AF4"/>
    <w:multiLevelType w:val="hybridMultilevel"/>
    <w:tmpl w:val="B85C42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C2591F"/>
    <w:multiLevelType w:val="hybridMultilevel"/>
    <w:tmpl w:val="46B4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E07BA7"/>
    <w:multiLevelType w:val="hybridMultilevel"/>
    <w:tmpl w:val="3D927BCA"/>
    <w:lvl w:ilvl="0" w:tplc="FFFFFFFF">
      <w:start w:val="1"/>
      <w:numFmt w:val="bullet"/>
      <w:lvlText w:val=""/>
      <w:lvlJc w:val="left"/>
      <w:pPr>
        <w:ind w:left="360" w:hanging="360"/>
      </w:pPr>
      <w:rPr>
        <w:rFonts w:ascii="Symbol" w:hAnsi="Symbol" w:hint="default"/>
      </w:rPr>
    </w:lvl>
    <w:lvl w:ilvl="1" w:tplc="A874F61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19B00FF"/>
    <w:multiLevelType w:val="hybridMultilevel"/>
    <w:tmpl w:val="EA1818BE"/>
    <w:lvl w:ilvl="0" w:tplc="FFFFFFFF">
      <w:start w:val="1"/>
      <w:numFmt w:val="bullet"/>
      <w:lvlText w:val=""/>
      <w:lvlJc w:val="left"/>
      <w:pPr>
        <w:ind w:left="360" w:hanging="360"/>
      </w:pPr>
      <w:rPr>
        <w:rFonts w:ascii="Symbol" w:hAnsi="Symbol" w:hint="default"/>
      </w:rPr>
    </w:lvl>
    <w:lvl w:ilvl="1" w:tplc="A874F610">
      <w:start w:val="1"/>
      <w:numFmt w:val="bullet"/>
      <w:pStyle w:val="Bullet2"/>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EF52B52"/>
    <w:multiLevelType w:val="multilevel"/>
    <w:tmpl w:val="46BABBD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3E0355"/>
    <w:multiLevelType w:val="hybridMultilevel"/>
    <w:tmpl w:val="1C9CFB3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3" w15:restartNumberingAfterBreak="0">
    <w:nsid w:val="6B5D1096"/>
    <w:multiLevelType w:val="hybridMultilevel"/>
    <w:tmpl w:val="6CE87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240E1D"/>
    <w:multiLevelType w:val="hybridMultilevel"/>
    <w:tmpl w:val="1466C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D93E09"/>
    <w:multiLevelType w:val="hybridMultilevel"/>
    <w:tmpl w:val="361AE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1A50A6"/>
    <w:multiLevelType w:val="hybridMultilevel"/>
    <w:tmpl w:val="DFF68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A429CC"/>
    <w:multiLevelType w:val="hybridMultilevel"/>
    <w:tmpl w:val="7FB4B352"/>
    <w:lvl w:ilvl="0" w:tplc="FFFFFFFF">
      <w:start w:val="1"/>
      <w:numFmt w:val="bullet"/>
      <w:lvlText w:val=""/>
      <w:lvlJc w:val="left"/>
      <w:pPr>
        <w:ind w:left="360" w:hanging="360"/>
      </w:pPr>
      <w:rPr>
        <w:rFonts w:ascii="Symbol" w:hAnsi="Symbol" w:hint="default"/>
      </w:rPr>
    </w:lvl>
    <w:lvl w:ilvl="1" w:tplc="A874F61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184160">
    <w:abstractNumId w:val="12"/>
  </w:num>
  <w:num w:numId="2" w16cid:durableId="382217871">
    <w:abstractNumId w:val="19"/>
  </w:num>
  <w:num w:numId="3" w16cid:durableId="168066766">
    <w:abstractNumId w:val="27"/>
  </w:num>
  <w:num w:numId="4" w16cid:durableId="539632717">
    <w:abstractNumId w:val="20"/>
  </w:num>
  <w:num w:numId="5" w16cid:durableId="379214071">
    <w:abstractNumId w:val="26"/>
  </w:num>
  <w:num w:numId="6" w16cid:durableId="1505586669">
    <w:abstractNumId w:val="13"/>
  </w:num>
  <w:num w:numId="7" w16cid:durableId="1608350492">
    <w:abstractNumId w:val="15"/>
  </w:num>
  <w:num w:numId="8" w16cid:durableId="1579560804">
    <w:abstractNumId w:val="25"/>
  </w:num>
  <w:num w:numId="9" w16cid:durableId="282151550">
    <w:abstractNumId w:val="12"/>
  </w:num>
  <w:num w:numId="10" w16cid:durableId="678583325">
    <w:abstractNumId w:val="20"/>
  </w:num>
  <w:num w:numId="11" w16cid:durableId="1735277873">
    <w:abstractNumId w:val="20"/>
  </w:num>
  <w:num w:numId="12" w16cid:durableId="1234390449">
    <w:abstractNumId w:val="9"/>
  </w:num>
  <w:num w:numId="13" w16cid:durableId="1475368983">
    <w:abstractNumId w:val="7"/>
  </w:num>
  <w:num w:numId="14" w16cid:durableId="645667473">
    <w:abstractNumId w:val="6"/>
  </w:num>
  <w:num w:numId="15" w16cid:durableId="131867432">
    <w:abstractNumId w:val="5"/>
  </w:num>
  <w:num w:numId="16" w16cid:durableId="1123305918">
    <w:abstractNumId w:val="4"/>
  </w:num>
  <w:num w:numId="17" w16cid:durableId="1833834854">
    <w:abstractNumId w:val="8"/>
  </w:num>
  <w:num w:numId="18" w16cid:durableId="365906812">
    <w:abstractNumId w:val="3"/>
  </w:num>
  <w:num w:numId="19" w16cid:durableId="466355514">
    <w:abstractNumId w:val="2"/>
  </w:num>
  <w:num w:numId="20" w16cid:durableId="1255944320">
    <w:abstractNumId w:val="1"/>
  </w:num>
  <w:num w:numId="21" w16cid:durableId="1283339434">
    <w:abstractNumId w:val="0"/>
  </w:num>
  <w:num w:numId="22" w16cid:durableId="499545020">
    <w:abstractNumId w:val="10"/>
  </w:num>
  <w:num w:numId="23" w16cid:durableId="1325549607">
    <w:abstractNumId w:val="11"/>
  </w:num>
  <w:num w:numId="24" w16cid:durableId="1580670331">
    <w:abstractNumId w:val="18"/>
  </w:num>
  <w:num w:numId="25" w16cid:durableId="1497040140">
    <w:abstractNumId w:val="11"/>
  </w:num>
  <w:num w:numId="26" w16cid:durableId="417019077">
    <w:abstractNumId w:val="17"/>
  </w:num>
  <w:num w:numId="27" w16cid:durableId="1527409379">
    <w:abstractNumId w:val="23"/>
  </w:num>
  <w:num w:numId="28" w16cid:durableId="2048480400">
    <w:abstractNumId w:val="16"/>
  </w:num>
  <w:num w:numId="29" w16cid:durableId="1127967059">
    <w:abstractNumId w:val="11"/>
  </w:num>
  <w:num w:numId="30" w16cid:durableId="1478496099">
    <w:abstractNumId w:val="24"/>
  </w:num>
  <w:num w:numId="31" w16cid:durableId="1967152061">
    <w:abstractNumId w:val="21"/>
  </w:num>
  <w:num w:numId="32" w16cid:durableId="1363362861">
    <w:abstractNumId w:val="14"/>
  </w:num>
  <w:num w:numId="33" w16cid:durableId="630981381">
    <w:abstractNumId w:val="22"/>
  </w:num>
  <w:num w:numId="34" w16cid:durableId="1207370599">
    <w:abstractNumId w:val="11"/>
  </w:num>
  <w:num w:numId="35" w16cid:durableId="400368535">
    <w:abstractNumId w:val="11"/>
  </w:num>
  <w:num w:numId="36" w16cid:durableId="1554076690">
    <w:abstractNumId w:val="11"/>
  </w:num>
  <w:num w:numId="37" w16cid:durableId="805273074">
    <w:abstractNumId w:val="11"/>
  </w:num>
  <w:num w:numId="38" w16cid:durableId="1767001983">
    <w:abstractNumId w:val="11"/>
  </w:num>
  <w:num w:numId="39" w16cid:durableId="1549298221">
    <w:abstractNumId w:val="11"/>
  </w:num>
  <w:num w:numId="40" w16cid:durableId="654770615">
    <w:abstractNumId w:val="11"/>
  </w:num>
  <w:num w:numId="41" w16cid:durableId="1645694072">
    <w:abstractNumId w:val="11"/>
  </w:num>
  <w:num w:numId="42" w16cid:durableId="1935935959">
    <w:abstractNumId w:val="11"/>
  </w:num>
  <w:num w:numId="43" w16cid:durableId="1270623452">
    <w:abstractNumId w:val="11"/>
  </w:num>
  <w:num w:numId="44" w16cid:durableId="247546856">
    <w:abstractNumId w:val="11"/>
  </w:num>
  <w:num w:numId="45" w16cid:durableId="7221705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34"/>
    <w:rsid w:val="00006F29"/>
    <w:rsid w:val="0002080B"/>
    <w:rsid w:val="0002265F"/>
    <w:rsid w:val="000470A1"/>
    <w:rsid w:val="0005089A"/>
    <w:rsid w:val="00067E40"/>
    <w:rsid w:val="00072DAB"/>
    <w:rsid w:val="00077A15"/>
    <w:rsid w:val="000848B4"/>
    <w:rsid w:val="00085F5F"/>
    <w:rsid w:val="00086D0B"/>
    <w:rsid w:val="00096279"/>
    <w:rsid w:val="000A55F5"/>
    <w:rsid w:val="000B0F8B"/>
    <w:rsid w:val="000B496D"/>
    <w:rsid w:val="000B5919"/>
    <w:rsid w:val="000C79EF"/>
    <w:rsid w:val="000E0680"/>
    <w:rsid w:val="000F1F5E"/>
    <w:rsid w:val="000F5C46"/>
    <w:rsid w:val="00103956"/>
    <w:rsid w:val="00110C31"/>
    <w:rsid w:val="00114268"/>
    <w:rsid w:val="001234BF"/>
    <w:rsid w:val="00123FBB"/>
    <w:rsid w:val="00131B3C"/>
    <w:rsid w:val="00152535"/>
    <w:rsid w:val="001533A5"/>
    <w:rsid w:val="001722CA"/>
    <w:rsid w:val="00172C86"/>
    <w:rsid w:val="0018025A"/>
    <w:rsid w:val="001A165D"/>
    <w:rsid w:val="001A3F33"/>
    <w:rsid w:val="001A5F3F"/>
    <w:rsid w:val="001B321F"/>
    <w:rsid w:val="001B77C7"/>
    <w:rsid w:val="001C42C1"/>
    <w:rsid w:val="001C6221"/>
    <w:rsid w:val="001C66D7"/>
    <w:rsid w:val="001E74BD"/>
    <w:rsid w:val="001E7762"/>
    <w:rsid w:val="001F368B"/>
    <w:rsid w:val="001F5B27"/>
    <w:rsid w:val="00200B39"/>
    <w:rsid w:val="00205569"/>
    <w:rsid w:val="00206C8F"/>
    <w:rsid w:val="00213319"/>
    <w:rsid w:val="00215840"/>
    <w:rsid w:val="00217D68"/>
    <w:rsid w:val="00224E35"/>
    <w:rsid w:val="002275F4"/>
    <w:rsid w:val="00235465"/>
    <w:rsid w:val="002426A4"/>
    <w:rsid w:val="002476A1"/>
    <w:rsid w:val="002652CC"/>
    <w:rsid w:val="00274034"/>
    <w:rsid w:val="002751FE"/>
    <w:rsid w:val="00292E85"/>
    <w:rsid w:val="002939A7"/>
    <w:rsid w:val="00296A6E"/>
    <w:rsid w:val="002A0C81"/>
    <w:rsid w:val="002A0FE5"/>
    <w:rsid w:val="002A5F84"/>
    <w:rsid w:val="002A6F94"/>
    <w:rsid w:val="002B5720"/>
    <w:rsid w:val="002B7EF6"/>
    <w:rsid w:val="002C4BCC"/>
    <w:rsid w:val="002C5017"/>
    <w:rsid w:val="002D39C8"/>
    <w:rsid w:val="002D4B48"/>
    <w:rsid w:val="002F1023"/>
    <w:rsid w:val="002F733E"/>
    <w:rsid w:val="003017C3"/>
    <w:rsid w:val="00302296"/>
    <w:rsid w:val="00305A72"/>
    <w:rsid w:val="003171B5"/>
    <w:rsid w:val="00322595"/>
    <w:rsid w:val="0032271C"/>
    <w:rsid w:val="00340C37"/>
    <w:rsid w:val="00342415"/>
    <w:rsid w:val="003471AD"/>
    <w:rsid w:val="00352995"/>
    <w:rsid w:val="0035557B"/>
    <w:rsid w:val="0036004C"/>
    <w:rsid w:val="00371555"/>
    <w:rsid w:val="00371EA6"/>
    <w:rsid w:val="00375D72"/>
    <w:rsid w:val="0038012D"/>
    <w:rsid w:val="00390DF3"/>
    <w:rsid w:val="003A31F7"/>
    <w:rsid w:val="003A4991"/>
    <w:rsid w:val="003A4F87"/>
    <w:rsid w:val="003B53E7"/>
    <w:rsid w:val="003B721A"/>
    <w:rsid w:val="003C0E18"/>
    <w:rsid w:val="003C6321"/>
    <w:rsid w:val="003C79F9"/>
    <w:rsid w:val="003D1831"/>
    <w:rsid w:val="003D1B32"/>
    <w:rsid w:val="003D4737"/>
    <w:rsid w:val="003D5F47"/>
    <w:rsid w:val="003D621E"/>
    <w:rsid w:val="003F131C"/>
    <w:rsid w:val="003F17BB"/>
    <w:rsid w:val="003F2383"/>
    <w:rsid w:val="00404F5F"/>
    <w:rsid w:val="00410432"/>
    <w:rsid w:val="00412F97"/>
    <w:rsid w:val="00413ABD"/>
    <w:rsid w:val="0042511B"/>
    <w:rsid w:val="00446AA8"/>
    <w:rsid w:val="00455E90"/>
    <w:rsid w:val="00462F41"/>
    <w:rsid w:val="00463F58"/>
    <w:rsid w:val="00470E4C"/>
    <w:rsid w:val="004764DB"/>
    <w:rsid w:val="004843C6"/>
    <w:rsid w:val="00491E23"/>
    <w:rsid w:val="004A584E"/>
    <w:rsid w:val="004B038C"/>
    <w:rsid w:val="004B2B22"/>
    <w:rsid w:val="004C6A6A"/>
    <w:rsid w:val="004E25D4"/>
    <w:rsid w:val="004F6804"/>
    <w:rsid w:val="00501106"/>
    <w:rsid w:val="005028F7"/>
    <w:rsid w:val="005058E0"/>
    <w:rsid w:val="00511681"/>
    <w:rsid w:val="00513676"/>
    <w:rsid w:val="00514564"/>
    <w:rsid w:val="005206AE"/>
    <w:rsid w:val="005257B3"/>
    <w:rsid w:val="00530121"/>
    <w:rsid w:val="00530182"/>
    <w:rsid w:val="00546F39"/>
    <w:rsid w:val="00554958"/>
    <w:rsid w:val="005611AC"/>
    <w:rsid w:val="00570843"/>
    <w:rsid w:val="0057115E"/>
    <w:rsid w:val="00574244"/>
    <w:rsid w:val="00577E3B"/>
    <w:rsid w:val="00583742"/>
    <w:rsid w:val="0058395C"/>
    <w:rsid w:val="005919EC"/>
    <w:rsid w:val="005A0265"/>
    <w:rsid w:val="005A5C9B"/>
    <w:rsid w:val="005B5170"/>
    <w:rsid w:val="005C1783"/>
    <w:rsid w:val="005D43BF"/>
    <w:rsid w:val="005E057E"/>
    <w:rsid w:val="005E5634"/>
    <w:rsid w:val="005E7AEC"/>
    <w:rsid w:val="005F057F"/>
    <w:rsid w:val="005F0DD6"/>
    <w:rsid w:val="005F3537"/>
    <w:rsid w:val="0060785B"/>
    <w:rsid w:val="006123A2"/>
    <w:rsid w:val="0061464A"/>
    <w:rsid w:val="00614E3F"/>
    <w:rsid w:val="00644D39"/>
    <w:rsid w:val="00651D65"/>
    <w:rsid w:val="00654894"/>
    <w:rsid w:val="00666632"/>
    <w:rsid w:val="006839B6"/>
    <w:rsid w:val="00687150"/>
    <w:rsid w:val="00692518"/>
    <w:rsid w:val="006959D8"/>
    <w:rsid w:val="006A19B5"/>
    <w:rsid w:val="006A2182"/>
    <w:rsid w:val="006A6583"/>
    <w:rsid w:val="006B03E0"/>
    <w:rsid w:val="006B3A56"/>
    <w:rsid w:val="006B3B36"/>
    <w:rsid w:val="006B7405"/>
    <w:rsid w:val="006C471D"/>
    <w:rsid w:val="006D10AA"/>
    <w:rsid w:val="006D1784"/>
    <w:rsid w:val="006D6940"/>
    <w:rsid w:val="006E279F"/>
    <w:rsid w:val="006E27E1"/>
    <w:rsid w:val="006E3963"/>
    <w:rsid w:val="006E58D7"/>
    <w:rsid w:val="006F229C"/>
    <w:rsid w:val="006F4AB7"/>
    <w:rsid w:val="006F5E2C"/>
    <w:rsid w:val="006F7C19"/>
    <w:rsid w:val="0070249B"/>
    <w:rsid w:val="00724DBE"/>
    <w:rsid w:val="007405F6"/>
    <w:rsid w:val="007452B6"/>
    <w:rsid w:val="00753D3B"/>
    <w:rsid w:val="00756B18"/>
    <w:rsid w:val="00772C5F"/>
    <w:rsid w:val="00773528"/>
    <w:rsid w:val="00773E26"/>
    <w:rsid w:val="00777A17"/>
    <w:rsid w:val="00782F30"/>
    <w:rsid w:val="00787868"/>
    <w:rsid w:val="0079036C"/>
    <w:rsid w:val="00790EA6"/>
    <w:rsid w:val="00793B3C"/>
    <w:rsid w:val="00795010"/>
    <w:rsid w:val="007A137A"/>
    <w:rsid w:val="007A7550"/>
    <w:rsid w:val="007B5E05"/>
    <w:rsid w:val="007B7D4F"/>
    <w:rsid w:val="007C59D7"/>
    <w:rsid w:val="007D0137"/>
    <w:rsid w:val="007E1F95"/>
    <w:rsid w:val="007E3D9A"/>
    <w:rsid w:val="007E62AB"/>
    <w:rsid w:val="007E6F44"/>
    <w:rsid w:val="007E72D0"/>
    <w:rsid w:val="007E77A2"/>
    <w:rsid w:val="00801F10"/>
    <w:rsid w:val="00805775"/>
    <w:rsid w:val="00812454"/>
    <w:rsid w:val="008270F4"/>
    <w:rsid w:val="00831F6B"/>
    <w:rsid w:val="0083444A"/>
    <w:rsid w:val="00837CDB"/>
    <w:rsid w:val="00842E40"/>
    <w:rsid w:val="00844E4D"/>
    <w:rsid w:val="00844FDC"/>
    <w:rsid w:val="00856F54"/>
    <w:rsid w:val="00860E75"/>
    <w:rsid w:val="008662F3"/>
    <w:rsid w:val="0087341D"/>
    <w:rsid w:val="00891298"/>
    <w:rsid w:val="00891F75"/>
    <w:rsid w:val="008A5E9D"/>
    <w:rsid w:val="008B156B"/>
    <w:rsid w:val="008B2B41"/>
    <w:rsid w:val="008B5CD8"/>
    <w:rsid w:val="008C3004"/>
    <w:rsid w:val="008C6522"/>
    <w:rsid w:val="008D295D"/>
    <w:rsid w:val="008D454B"/>
    <w:rsid w:val="008F7B8C"/>
    <w:rsid w:val="009069E6"/>
    <w:rsid w:val="00913BF2"/>
    <w:rsid w:val="00924AAF"/>
    <w:rsid w:val="009270D7"/>
    <w:rsid w:val="00930A4A"/>
    <w:rsid w:val="00931D2B"/>
    <w:rsid w:val="00934C50"/>
    <w:rsid w:val="00935545"/>
    <w:rsid w:val="00935829"/>
    <w:rsid w:val="0094173A"/>
    <w:rsid w:val="00942BDB"/>
    <w:rsid w:val="0096100B"/>
    <w:rsid w:val="00961E51"/>
    <w:rsid w:val="00962355"/>
    <w:rsid w:val="009666F2"/>
    <w:rsid w:val="00966E2F"/>
    <w:rsid w:val="00977C82"/>
    <w:rsid w:val="009829DD"/>
    <w:rsid w:val="00987026"/>
    <w:rsid w:val="00991D04"/>
    <w:rsid w:val="009A37CF"/>
    <w:rsid w:val="009A4561"/>
    <w:rsid w:val="009C3383"/>
    <w:rsid w:val="009D2A39"/>
    <w:rsid w:val="009D2A81"/>
    <w:rsid w:val="009E2E7E"/>
    <w:rsid w:val="009E647E"/>
    <w:rsid w:val="009F09FF"/>
    <w:rsid w:val="009F1201"/>
    <w:rsid w:val="00A15C2E"/>
    <w:rsid w:val="00A22CC0"/>
    <w:rsid w:val="00A24A2A"/>
    <w:rsid w:val="00A3108A"/>
    <w:rsid w:val="00A314AA"/>
    <w:rsid w:val="00A34A17"/>
    <w:rsid w:val="00A46FEF"/>
    <w:rsid w:val="00A505DA"/>
    <w:rsid w:val="00A51797"/>
    <w:rsid w:val="00A54068"/>
    <w:rsid w:val="00A65176"/>
    <w:rsid w:val="00A81318"/>
    <w:rsid w:val="00A921C1"/>
    <w:rsid w:val="00A930D5"/>
    <w:rsid w:val="00AA2BD7"/>
    <w:rsid w:val="00AA35A0"/>
    <w:rsid w:val="00AA55AA"/>
    <w:rsid w:val="00AB4FC0"/>
    <w:rsid w:val="00AB5E5E"/>
    <w:rsid w:val="00AC55E8"/>
    <w:rsid w:val="00AC63EF"/>
    <w:rsid w:val="00AC7011"/>
    <w:rsid w:val="00AD4A6C"/>
    <w:rsid w:val="00AE4468"/>
    <w:rsid w:val="00AE478B"/>
    <w:rsid w:val="00AF1B7E"/>
    <w:rsid w:val="00AF4971"/>
    <w:rsid w:val="00AF555E"/>
    <w:rsid w:val="00B12983"/>
    <w:rsid w:val="00B17475"/>
    <w:rsid w:val="00B22172"/>
    <w:rsid w:val="00B25B24"/>
    <w:rsid w:val="00B325AA"/>
    <w:rsid w:val="00B325C3"/>
    <w:rsid w:val="00B325C4"/>
    <w:rsid w:val="00B32747"/>
    <w:rsid w:val="00B32B59"/>
    <w:rsid w:val="00B33A0B"/>
    <w:rsid w:val="00B3637C"/>
    <w:rsid w:val="00B402C1"/>
    <w:rsid w:val="00B42457"/>
    <w:rsid w:val="00B4354B"/>
    <w:rsid w:val="00B5427B"/>
    <w:rsid w:val="00B6307D"/>
    <w:rsid w:val="00B719BC"/>
    <w:rsid w:val="00B73141"/>
    <w:rsid w:val="00B76D56"/>
    <w:rsid w:val="00B77D0F"/>
    <w:rsid w:val="00B819C4"/>
    <w:rsid w:val="00B81CD5"/>
    <w:rsid w:val="00B912C1"/>
    <w:rsid w:val="00BA149F"/>
    <w:rsid w:val="00BA1D57"/>
    <w:rsid w:val="00BA58EE"/>
    <w:rsid w:val="00BA7730"/>
    <w:rsid w:val="00BB4D3C"/>
    <w:rsid w:val="00BB6111"/>
    <w:rsid w:val="00BC4D9C"/>
    <w:rsid w:val="00BC78AF"/>
    <w:rsid w:val="00BD1BEB"/>
    <w:rsid w:val="00BD295B"/>
    <w:rsid w:val="00BE2B61"/>
    <w:rsid w:val="00C00392"/>
    <w:rsid w:val="00C016CC"/>
    <w:rsid w:val="00C036A4"/>
    <w:rsid w:val="00C154DB"/>
    <w:rsid w:val="00C21F42"/>
    <w:rsid w:val="00C23D8A"/>
    <w:rsid w:val="00C26006"/>
    <w:rsid w:val="00C31247"/>
    <w:rsid w:val="00C32CEE"/>
    <w:rsid w:val="00C3420F"/>
    <w:rsid w:val="00C368BC"/>
    <w:rsid w:val="00C43DC8"/>
    <w:rsid w:val="00C43FE6"/>
    <w:rsid w:val="00C577E1"/>
    <w:rsid w:val="00C623F4"/>
    <w:rsid w:val="00C6253E"/>
    <w:rsid w:val="00C73924"/>
    <w:rsid w:val="00C753B3"/>
    <w:rsid w:val="00C766F3"/>
    <w:rsid w:val="00C83E63"/>
    <w:rsid w:val="00C93603"/>
    <w:rsid w:val="00CA349E"/>
    <w:rsid w:val="00CA7B49"/>
    <w:rsid w:val="00CB15DF"/>
    <w:rsid w:val="00CC24D6"/>
    <w:rsid w:val="00CD038B"/>
    <w:rsid w:val="00CD10E4"/>
    <w:rsid w:val="00CD17CC"/>
    <w:rsid w:val="00CD4A44"/>
    <w:rsid w:val="00CE04E3"/>
    <w:rsid w:val="00CE2316"/>
    <w:rsid w:val="00CE3FE3"/>
    <w:rsid w:val="00CE71D6"/>
    <w:rsid w:val="00D03EAC"/>
    <w:rsid w:val="00D17B71"/>
    <w:rsid w:val="00D2064B"/>
    <w:rsid w:val="00D23B30"/>
    <w:rsid w:val="00D26162"/>
    <w:rsid w:val="00D27C77"/>
    <w:rsid w:val="00D3008E"/>
    <w:rsid w:val="00D31183"/>
    <w:rsid w:val="00D32F51"/>
    <w:rsid w:val="00D41189"/>
    <w:rsid w:val="00D42C2E"/>
    <w:rsid w:val="00D438BE"/>
    <w:rsid w:val="00D51B42"/>
    <w:rsid w:val="00D63740"/>
    <w:rsid w:val="00D6635A"/>
    <w:rsid w:val="00D66CCA"/>
    <w:rsid w:val="00D67A87"/>
    <w:rsid w:val="00D71302"/>
    <w:rsid w:val="00D77ACE"/>
    <w:rsid w:val="00D80FE1"/>
    <w:rsid w:val="00D82A69"/>
    <w:rsid w:val="00D93726"/>
    <w:rsid w:val="00D944CE"/>
    <w:rsid w:val="00DA54B8"/>
    <w:rsid w:val="00DA7ED4"/>
    <w:rsid w:val="00DB121E"/>
    <w:rsid w:val="00DB1521"/>
    <w:rsid w:val="00DB30BE"/>
    <w:rsid w:val="00DB58D2"/>
    <w:rsid w:val="00DB62EF"/>
    <w:rsid w:val="00DB6A6E"/>
    <w:rsid w:val="00DE16DF"/>
    <w:rsid w:val="00DE17C1"/>
    <w:rsid w:val="00DE66AA"/>
    <w:rsid w:val="00DF4F8C"/>
    <w:rsid w:val="00E04B57"/>
    <w:rsid w:val="00E1295A"/>
    <w:rsid w:val="00E144D7"/>
    <w:rsid w:val="00E1471F"/>
    <w:rsid w:val="00E26B87"/>
    <w:rsid w:val="00E32A14"/>
    <w:rsid w:val="00E45E6C"/>
    <w:rsid w:val="00E4699A"/>
    <w:rsid w:val="00E47715"/>
    <w:rsid w:val="00E478D1"/>
    <w:rsid w:val="00E55485"/>
    <w:rsid w:val="00E55E00"/>
    <w:rsid w:val="00E77F1B"/>
    <w:rsid w:val="00E902BD"/>
    <w:rsid w:val="00E92E98"/>
    <w:rsid w:val="00E93AF6"/>
    <w:rsid w:val="00E94868"/>
    <w:rsid w:val="00E9744C"/>
    <w:rsid w:val="00EA06E3"/>
    <w:rsid w:val="00EA0A2E"/>
    <w:rsid w:val="00EA3F7D"/>
    <w:rsid w:val="00EA42D7"/>
    <w:rsid w:val="00EB395A"/>
    <w:rsid w:val="00EB4A22"/>
    <w:rsid w:val="00ED12E8"/>
    <w:rsid w:val="00ED2362"/>
    <w:rsid w:val="00ED45C5"/>
    <w:rsid w:val="00F042B3"/>
    <w:rsid w:val="00F0561E"/>
    <w:rsid w:val="00F10990"/>
    <w:rsid w:val="00F16D82"/>
    <w:rsid w:val="00F21572"/>
    <w:rsid w:val="00F26856"/>
    <w:rsid w:val="00F35472"/>
    <w:rsid w:val="00F35D70"/>
    <w:rsid w:val="00F462AF"/>
    <w:rsid w:val="00F52611"/>
    <w:rsid w:val="00F558C0"/>
    <w:rsid w:val="00F6199C"/>
    <w:rsid w:val="00F62666"/>
    <w:rsid w:val="00F738D6"/>
    <w:rsid w:val="00F741A5"/>
    <w:rsid w:val="00F927C7"/>
    <w:rsid w:val="00FA0C86"/>
    <w:rsid w:val="00FA3D93"/>
    <w:rsid w:val="00FD0D23"/>
    <w:rsid w:val="00FE35C7"/>
    <w:rsid w:val="00FE451E"/>
    <w:rsid w:val="00FF78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7DCD1"/>
  <w15:chartTrackingRefBased/>
  <w15:docId w15:val="{0B4A7000-4205-4116-B097-FCE0FA32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entury Gothic"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A22"/>
    <w:pPr>
      <w:widowControl w:val="0"/>
      <w:autoSpaceDE w:val="0"/>
      <w:autoSpaceDN w:val="0"/>
      <w:spacing w:before="120" w:after="120"/>
    </w:pPr>
    <w:rPr>
      <w:rFonts w:ascii="Arial" w:hAnsi="Arial" w:cs="Century Gothic"/>
      <w:kern w:val="0"/>
      <w:sz w:val="24"/>
      <w:lang w:eastAsia="en-AU" w:bidi="en-AU"/>
      <w14:ligatures w14:val="none"/>
    </w:rPr>
  </w:style>
  <w:style w:type="paragraph" w:styleId="Heading1">
    <w:name w:val="heading 1"/>
    <w:basedOn w:val="Normal"/>
    <w:next w:val="Normal"/>
    <w:link w:val="Heading1Char"/>
    <w:uiPriority w:val="1"/>
    <w:qFormat/>
    <w:rsid w:val="00DB62EF"/>
    <w:pPr>
      <w:spacing w:before="240" w:after="240"/>
      <w:outlineLvl w:val="0"/>
    </w:pPr>
    <w:rPr>
      <w:b/>
      <w:bCs/>
      <w:sz w:val="36"/>
      <w:szCs w:val="28"/>
    </w:rPr>
  </w:style>
  <w:style w:type="paragraph" w:styleId="Heading2">
    <w:name w:val="heading 2"/>
    <w:basedOn w:val="Normal"/>
    <w:next w:val="Normal"/>
    <w:link w:val="Heading2Char"/>
    <w:uiPriority w:val="1"/>
    <w:unhideWhenUsed/>
    <w:qFormat/>
    <w:rsid w:val="007E77A2"/>
    <w:pPr>
      <w:spacing w:before="360" w:after="360"/>
      <w:outlineLvl w:val="1"/>
    </w:pPr>
    <w:rPr>
      <w:b/>
      <w:bCs/>
      <w:sz w:val="32"/>
    </w:rPr>
  </w:style>
  <w:style w:type="paragraph" w:styleId="Heading3">
    <w:name w:val="heading 3"/>
    <w:basedOn w:val="Normal"/>
    <w:next w:val="Normal"/>
    <w:link w:val="Heading3Char"/>
    <w:uiPriority w:val="1"/>
    <w:unhideWhenUsed/>
    <w:qFormat/>
    <w:rsid w:val="00DB62EF"/>
    <w:pPr>
      <w:spacing w:before="240"/>
      <w:outlineLvl w:val="2"/>
    </w:pPr>
    <w:rPr>
      <w:b/>
      <w:bCs/>
      <w:sz w:val="28"/>
    </w:rPr>
  </w:style>
  <w:style w:type="paragraph" w:styleId="Heading4">
    <w:name w:val="heading 4"/>
    <w:basedOn w:val="Heading3"/>
    <w:next w:val="Normal"/>
    <w:link w:val="Heading4Char"/>
    <w:uiPriority w:val="1"/>
    <w:unhideWhenUsed/>
    <w:qFormat/>
    <w:rsid w:val="00DB62EF"/>
    <w:pPr>
      <w:spacing w:before="120"/>
      <w:outlineLvl w:val="3"/>
    </w:pPr>
    <w:rPr>
      <w:bCs w:val="0"/>
      <w:iCs/>
      <w:sz w:val="26"/>
    </w:rPr>
  </w:style>
  <w:style w:type="paragraph" w:styleId="Heading5">
    <w:name w:val="heading 5"/>
    <w:basedOn w:val="Normal"/>
    <w:next w:val="Normal"/>
    <w:link w:val="Heading5Char"/>
    <w:uiPriority w:val="1"/>
    <w:rsid w:val="00DB62EF"/>
    <w:pPr>
      <w:keepNext/>
      <w:keepLines/>
      <w:outlineLvl w:val="4"/>
    </w:pPr>
    <w:rPr>
      <w:rFonts w:eastAsiaTheme="majorEastAsia" w:cstheme="majorBidi"/>
      <w:b/>
    </w:rPr>
  </w:style>
  <w:style w:type="paragraph" w:styleId="Heading6">
    <w:name w:val="heading 6"/>
    <w:basedOn w:val="Normal"/>
    <w:next w:val="Normal"/>
    <w:link w:val="Heading6Char"/>
    <w:uiPriority w:val="1"/>
    <w:qFormat/>
    <w:rsid w:val="00F741A5"/>
    <w:pPr>
      <w:keepNext/>
      <w:keepLines/>
      <w:outlineLvl w:val="5"/>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741A5"/>
    <w:rPr>
      <w:rFonts w:ascii="Arial" w:hAnsi="Arial" w:cs="Century Gothic"/>
      <w:b/>
      <w:bCs/>
      <w:kern w:val="0"/>
      <w:sz w:val="36"/>
      <w:szCs w:val="28"/>
      <w:lang w:eastAsia="en-AU" w:bidi="en-AU"/>
      <w14:ligatures w14:val="none"/>
    </w:rPr>
  </w:style>
  <w:style w:type="paragraph" w:customStyle="1" w:styleId="Bullet2">
    <w:name w:val="Bullet 2"/>
    <w:basedOn w:val="Normal"/>
    <w:uiPriority w:val="4"/>
    <w:rsid w:val="00F741A5"/>
    <w:pPr>
      <w:numPr>
        <w:ilvl w:val="1"/>
        <w:numId w:val="4"/>
      </w:numPr>
    </w:pPr>
  </w:style>
  <w:style w:type="paragraph" w:styleId="Quote">
    <w:name w:val="Quote"/>
    <w:aliases w:val="ACT"/>
    <w:basedOn w:val="Normal"/>
    <w:next w:val="Normal"/>
    <w:link w:val="QuoteChar"/>
    <w:uiPriority w:val="29"/>
    <w:qFormat/>
    <w:rsid w:val="00F741A5"/>
    <w:rPr>
      <w:i/>
      <w:iCs/>
    </w:rPr>
  </w:style>
  <w:style w:type="character" w:customStyle="1" w:styleId="QuoteChar">
    <w:name w:val="Quote Char"/>
    <w:aliases w:val="ACT Char"/>
    <w:basedOn w:val="DefaultParagraphFont"/>
    <w:link w:val="Quote"/>
    <w:uiPriority w:val="29"/>
    <w:rsid w:val="00F741A5"/>
    <w:rPr>
      <w:rFonts w:ascii="Arial" w:hAnsi="Arial" w:cs="Century Gothic"/>
      <w:i/>
      <w:iCs/>
      <w:kern w:val="0"/>
      <w:sz w:val="24"/>
      <w:lang w:eastAsia="en-AU" w:bidi="en-AU"/>
      <w14:ligatures w14:val="none"/>
    </w:rPr>
  </w:style>
  <w:style w:type="character" w:customStyle="1" w:styleId="Heading2Char">
    <w:name w:val="Heading 2 Char"/>
    <w:basedOn w:val="DefaultParagraphFont"/>
    <w:link w:val="Heading2"/>
    <w:uiPriority w:val="1"/>
    <w:rsid w:val="007E77A2"/>
    <w:rPr>
      <w:rFonts w:ascii="Arial" w:hAnsi="Arial" w:cs="Century Gothic"/>
      <w:b/>
      <w:bCs/>
      <w:kern w:val="0"/>
      <w:sz w:val="32"/>
      <w:lang w:eastAsia="en-AU" w:bidi="en-AU"/>
      <w14:ligatures w14:val="none"/>
    </w:rPr>
  </w:style>
  <w:style w:type="character" w:customStyle="1" w:styleId="Heading3Char">
    <w:name w:val="Heading 3 Char"/>
    <w:basedOn w:val="DefaultParagraphFont"/>
    <w:link w:val="Heading3"/>
    <w:uiPriority w:val="1"/>
    <w:rsid w:val="00F741A5"/>
    <w:rPr>
      <w:rFonts w:ascii="Arial" w:hAnsi="Arial" w:cs="Century Gothic"/>
      <w:b/>
      <w:bCs/>
      <w:kern w:val="0"/>
      <w:sz w:val="28"/>
      <w:lang w:eastAsia="en-AU" w:bidi="en-AU"/>
      <w14:ligatures w14:val="none"/>
    </w:rPr>
  </w:style>
  <w:style w:type="character" w:styleId="Hyperlink">
    <w:name w:val="Hyperlink"/>
    <w:basedOn w:val="DefaultParagraphFont"/>
    <w:uiPriority w:val="99"/>
    <w:unhideWhenUsed/>
    <w:qFormat/>
    <w:rsid w:val="00F741A5"/>
    <w:rPr>
      <w:rFonts w:ascii="Arial" w:hAnsi="Arial"/>
      <w:color w:val="0563C1" w:themeColor="hyperlink"/>
      <w:sz w:val="24"/>
      <w:u w:val="single"/>
    </w:rPr>
  </w:style>
  <w:style w:type="character" w:styleId="UnresolvedMention">
    <w:name w:val="Unresolved Mention"/>
    <w:basedOn w:val="DefaultParagraphFont"/>
    <w:uiPriority w:val="99"/>
    <w:semiHidden/>
    <w:unhideWhenUsed/>
    <w:rsid w:val="00EA0A2E"/>
    <w:rPr>
      <w:color w:val="605E5C"/>
      <w:shd w:val="clear" w:color="auto" w:fill="E1DFDD"/>
    </w:rPr>
  </w:style>
  <w:style w:type="character" w:styleId="FollowedHyperlink">
    <w:name w:val="FollowedHyperlink"/>
    <w:basedOn w:val="DefaultParagraphFont"/>
    <w:uiPriority w:val="99"/>
    <w:semiHidden/>
    <w:unhideWhenUsed/>
    <w:rsid w:val="00B77D0F"/>
    <w:rPr>
      <w:color w:val="954F72" w:themeColor="followedHyperlink"/>
      <w:u w:val="single"/>
    </w:rPr>
  </w:style>
  <w:style w:type="character" w:styleId="CommentReference">
    <w:name w:val="annotation reference"/>
    <w:basedOn w:val="DefaultParagraphFont"/>
    <w:uiPriority w:val="99"/>
    <w:semiHidden/>
    <w:unhideWhenUsed/>
    <w:rsid w:val="00B77D0F"/>
    <w:rPr>
      <w:sz w:val="16"/>
      <w:szCs w:val="16"/>
    </w:rPr>
  </w:style>
  <w:style w:type="paragraph" w:styleId="CommentSubject">
    <w:name w:val="annotation subject"/>
    <w:basedOn w:val="Normal"/>
    <w:next w:val="Normal"/>
    <w:link w:val="CommentSubjectChar"/>
    <w:uiPriority w:val="99"/>
    <w:semiHidden/>
    <w:unhideWhenUsed/>
    <w:rsid w:val="00F741A5"/>
    <w:rPr>
      <w:b/>
      <w:bCs/>
      <w:sz w:val="20"/>
      <w:szCs w:val="20"/>
    </w:rPr>
  </w:style>
  <w:style w:type="character" w:customStyle="1" w:styleId="CommentSubjectChar">
    <w:name w:val="Comment Subject Char"/>
    <w:basedOn w:val="DefaultParagraphFont"/>
    <w:link w:val="CommentSubject"/>
    <w:uiPriority w:val="99"/>
    <w:semiHidden/>
    <w:rsid w:val="00F741A5"/>
    <w:rPr>
      <w:rFonts w:ascii="Arial" w:hAnsi="Arial" w:cs="Century Gothic"/>
      <w:b/>
      <w:bCs/>
      <w:kern w:val="0"/>
      <w:sz w:val="20"/>
      <w:szCs w:val="20"/>
      <w:lang w:eastAsia="en-AU" w:bidi="en-AU"/>
      <w14:ligatures w14:val="none"/>
    </w:rPr>
  </w:style>
  <w:style w:type="paragraph" w:styleId="ListParagraph">
    <w:name w:val="List Paragraph"/>
    <w:basedOn w:val="Normal"/>
    <w:link w:val="ListParagraphChar"/>
    <w:uiPriority w:val="34"/>
    <w:qFormat/>
    <w:rsid w:val="00E1471F"/>
    <w:pPr>
      <w:ind w:left="720"/>
      <w:contextualSpacing/>
    </w:pPr>
  </w:style>
  <w:style w:type="paragraph" w:customStyle="1" w:styleId="Bulletlist">
    <w:name w:val="Bullet list"/>
    <w:basedOn w:val="ListParagraph"/>
    <w:uiPriority w:val="3"/>
    <w:rsid w:val="00E1471F"/>
    <w:pPr>
      <w:numPr>
        <w:numId w:val="1"/>
      </w:numPr>
    </w:pPr>
  </w:style>
  <w:style w:type="character" w:customStyle="1" w:styleId="Heading4Char">
    <w:name w:val="Heading 4 Char"/>
    <w:basedOn w:val="DefaultParagraphFont"/>
    <w:link w:val="Heading4"/>
    <w:uiPriority w:val="1"/>
    <w:rsid w:val="00F741A5"/>
    <w:rPr>
      <w:rFonts w:ascii="Arial" w:hAnsi="Arial" w:cs="Century Gothic"/>
      <w:b/>
      <w:iCs/>
      <w:kern w:val="0"/>
      <w:sz w:val="26"/>
      <w:lang w:eastAsia="en-AU" w:bidi="en-AU"/>
      <w14:ligatures w14:val="none"/>
    </w:rPr>
  </w:style>
  <w:style w:type="paragraph" w:customStyle="1" w:styleId="Tableheader">
    <w:name w:val="Table header"/>
    <w:basedOn w:val="Normal"/>
    <w:uiPriority w:val="2"/>
    <w:rsid w:val="00DE17C1"/>
    <w:pPr>
      <w:widowControl/>
      <w:autoSpaceDE/>
      <w:autoSpaceDN/>
      <w:spacing w:before="60" w:after="60" w:line="240" w:lineRule="auto"/>
      <w:ind w:left="113"/>
    </w:pPr>
    <w:rPr>
      <w:rFonts w:eastAsia="Times New Roman" w:cs="Times New Roman"/>
      <w:b/>
      <w:sz w:val="22"/>
      <w:szCs w:val="20"/>
      <w:lang w:bidi="ar-SA"/>
    </w:rPr>
  </w:style>
  <w:style w:type="paragraph" w:customStyle="1" w:styleId="Tabletext">
    <w:name w:val="Table text"/>
    <w:uiPriority w:val="2"/>
    <w:rsid w:val="00DE17C1"/>
    <w:pPr>
      <w:spacing w:before="60" w:after="60" w:line="240" w:lineRule="auto"/>
    </w:pPr>
    <w:rPr>
      <w:rFonts w:ascii="Arial" w:eastAsia="Times New Roman" w:hAnsi="Arial" w:cs="Times New Roman"/>
      <w:color w:val="538135" w:themeColor="accent6" w:themeShade="BF"/>
      <w:kern w:val="0"/>
      <w:szCs w:val="20"/>
      <w:lang w:eastAsia="en-AU"/>
      <w14:ligatures w14:val="none"/>
    </w:rPr>
  </w:style>
  <w:style w:type="character" w:customStyle="1" w:styleId="Heading5Char">
    <w:name w:val="Heading 5 Char"/>
    <w:basedOn w:val="DefaultParagraphFont"/>
    <w:link w:val="Heading5"/>
    <w:uiPriority w:val="1"/>
    <w:rsid w:val="00F741A5"/>
    <w:rPr>
      <w:rFonts w:ascii="Arial" w:eastAsiaTheme="majorEastAsia" w:hAnsi="Arial" w:cstheme="majorBidi"/>
      <w:b/>
      <w:kern w:val="0"/>
      <w:sz w:val="24"/>
      <w:lang w:eastAsia="en-AU" w:bidi="en-AU"/>
      <w14:ligatures w14:val="none"/>
    </w:rPr>
  </w:style>
  <w:style w:type="character" w:customStyle="1" w:styleId="Heading6Char">
    <w:name w:val="Heading 6 Char"/>
    <w:basedOn w:val="DefaultParagraphFont"/>
    <w:link w:val="Heading6"/>
    <w:uiPriority w:val="1"/>
    <w:rsid w:val="00F741A5"/>
    <w:rPr>
      <w:rFonts w:ascii="Arial" w:eastAsiaTheme="majorEastAsia" w:hAnsi="Arial" w:cstheme="majorBidi"/>
      <w:b/>
      <w:i/>
      <w:kern w:val="0"/>
      <w:sz w:val="24"/>
      <w:lang w:eastAsia="en-AU" w:bidi="en-AU"/>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Century Gothic"/>
      <w:kern w:val="0"/>
      <w:sz w:val="20"/>
      <w:szCs w:val="20"/>
      <w:lang w:eastAsia="en-AU" w:bidi="en-AU"/>
      <w14:ligatures w14:val="none"/>
    </w:rPr>
  </w:style>
  <w:style w:type="paragraph" w:styleId="Revision">
    <w:name w:val="Revision"/>
    <w:hidden/>
    <w:uiPriority w:val="99"/>
    <w:semiHidden/>
    <w:rsid w:val="005E5634"/>
    <w:pPr>
      <w:spacing w:after="0" w:line="240" w:lineRule="auto"/>
    </w:pPr>
    <w:rPr>
      <w:rFonts w:ascii="Arial" w:hAnsi="Arial" w:cs="Century Gothic"/>
      <w:kern w:val="0"/>
      <w:sz w:val="24"/>
      <w:lang w:eastAsia="en-AU" w:bidi="en-AU"/>
      <w14:ligatures w14:val="none"/>
    </w:rPr>
  </w:style>
  <w:style w:type="paragraph" w:styleId="Header">
    <w:name w:val="header"/>
    <w:basedOn w:val="Normal"/>
    <w:link w:val="HeaderChar"/>
    <w:uiPriority w:val="99"/>
    <w:unhideWhenUsed/>
    <w:rsid w:val="00A46F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46FEF"/>
    <w:rPr>
      <w:rFonts w:ascii="Arial" w:hAnsi="Arial" w:cs="Century Gothic"/>
      <w:kern w:val="0"/>
      <w:sz w:val="24"/>
      <w:lang w:eastAsia="en-AU" w:bidi="en-AU"/>
      <w14:ligatures w14:val="none"/>
    </w:rPr>
  </w:style>
  <w:style w:type="paragraph" w:styleId="Footer">
    <w:name w:val="footer"/>
    <w:basedOn w:val="Normal"/>
    <w:link w:val="FooterChar"/>
    <w:uiPriority w:val="99"/>
    <w:unhideWhenUsed/>
    <w:rsid w:val="00A46F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46FEF"/>
    <w:rPr>
      <w:rFonts w:ascii="Arial" w:hAnsi="Arial" w:cs="Century Gothic"/>
      <w:kern w:val="0"/>
      <w:sz w:val="24"/>
      <w:lang w:eastAsia="en-AU" w:bidi="en-AU"/>
      <w14:ligatures w14:val="none"/>
    </w:rPr>
  </w:style>
  <w:style w:type="paragraph" w:customStyle="1" w:styleId="Bullet1">
    <w:name w:val="Bullet 1"/>
    <w:basedOn w:val="Normal"/>
    <w:uiPriority w:val="99"/>
    <w:rsid w:val="00B76D56"/>
    <w:pPr>
      <w:widowControl/>
      <w:numPr>
        <w:numId w:val="23"/>
      </w:numPr>
      <w:suppressAutoHyphens/>
      <w:adjustRightInd w:val="0"/>
      <w:spacing w:before="0" w:after="200" w:line="240" w:lineRule="auto"/>
    </w:pPr>
    <w:rPr>
      <w:rFonts w:eastAsia="Times New Roman" w:cs="Arial"/>
      <w:color w:val="000000"/>
      <w:sz w:val="20"/>
      <w:szCs w:val="20"/>
      <w:lang w:val="en-GB" w:bidi="ar-SA"/>
    </w:rPr>
  </w:style>
  <w:style w:type="paragraph" w:customStyle="1" w:styleId="StrategicAssessmentText">
    <w:name w:val="Strategic Assessment Text"/>
    <w:basedOn w:val="Normal"/>
    <w:rsid w:val="00924AAF"/>
    <w:pPr>
      <w:widowControl/>
      <w:autoSpaceDE/>
      <w:autoSpaceDN/>
      <w:spacing w:after="0" w:line="240" w:lineRule="auto"/>
      <w:ind w:left="284"/>
      <w:jc w:val="both"/>
    </w:pPr>
    <w:rPr>
      <w:rFonts w:ascii="Times" w:eastAsia="Times New Roman" w:hAnsi="Times" w:cs="Times New Roman"/>
      <w:szCs w:val="20"/>
      <w:lang w:bidi="ar-SA"/>
    </w:rPr>
  </w:style>
  <w:style w:type="character" w:customStyle="1" w:styleId="ListParagraphChar">
    <w:name w:val="List Paragraph Char"/>
    <w:link w:val="ListParagraph"/>
    <w:uiPriority w:val="34"/>
    <w:locked/>
    <w:rsid w:val="00924AAF"/>
    <w:rPr>
      <w:rFonts w:ascii="Arial" w:hAnsi="Arial" w:cs="Century Gothic"/>
      <w:kern w:val="0"/>
      <w:sz w:val="24"/>
      <w:lang w:eastAsia="en-AU" w:bidi="en-AU"/>
      <w14:ligatures w14:val="none"/>
    </w:rPr>
  </w:style>
  <w:style w:type="paragraph" w:styleId="NormalWeb">
    <w:name w:val="Normal (Web)"/>
    <w:basedOn w:val="Normal"/>
    <w:uiPriority w:val="99"/>
    <w:semiHidden/>
    <w:unhideWhenUsed/>
    <w:rsid w:val="00DE16DF"/>
    <w:pPr>
      <w:widowControl/>
      <w:autoSpaceDE/>
      <w:autoSpaceDN/>
      <w:spacing w:before="100" w:beforeAutospacing="1" w:after="100" w:afterAutospacing="1" w:line="240" w:lineRule="auto"/>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7259372">
      <w:bodyDiv w:val="1"/>
      <w:marLeft w:val="0"/>
      <w:marRight w:val="0"/>
      <w:marTop w:val="0"/>
      <w:marBottom w:val="0"/>
      <w:divBdr>
        <w:top w:val="none" w:sz="0" w:space="0" w:color="auto"/>
        <w:left w:val="none" w:sz="0" w:space="0" w:color="auto"/>
        <w:bottom w:val="none" w:sz="0" w:space="0" w:color="auto"/>
        <w:right w:val="none" w:sz="0" w:space="0" w:color="auto"/>
      </w:divBdr>
      <w:divsChild>
        <w:div w:id="1219516140">
          <w:marLeft w:val="0"/>
          <w:marRight w:val="0"/>
          <w:marTop w:val="0"/>
          <w:marBottom w:val="0"/>
          <w:divBdr>
            <w:top w:val="none" w:sz="0" w:space="0" w:color="auto"/>
            <w:left w:val="none" w:sz="0" w:space="0" w:color="auto"/>
            <w:bottom w:val="none" w:sz="0" w:space="0" w:color="auto"/>
            <w:right w:val="none" w:sz="0" w:space="0" w:color="auto"/>
          </w:divBdr>
          <w:divsChild>
            <w:div w:id="7114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ouncil@southgippsland.vic.gov.au"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lanning.vic.gov.au/public-inspection"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85\AppData\Local\Microsoft\Windows\INetCache\Content.Outlook\OHOGD967\Explanatory%20Report%20-%20Boroondara%20accessible%20version%20-%202023-09-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6" ma:contentTypeDescription="Create a new document." ma:contentTypeScope="" ma:versionID="808527d557d55092242dba7d110fa2dc">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cbc5b083249a0922245b9b963983980c"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element ref="ns3:AppH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AppHub" ma:index="35" nillable="true" ma:displayName="AppHub" ma:default="0" ma:description="Is visible on AppHub Y/N" ma:internalName="AppHub">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_dlc_DocId xmlns="a5f32de4-e402-4188-b034-e71ca7d22e54">DOCID359-1558401439-318</_dlc_DocId>
    <_dlc_DocIdUrl xmlns="a5f32de4-e402-4188-b034-e71ca7d22e54">
      <Url>https://delwpvicgovau.sharepoint.com/sites/ecm_359/_layouts/15/DocIdRedir.aspx?ID=DOCID359-1558401439-318</Url>
      <Description>DOCID359-1558401439-318</Description>
    </_dlc_DocIdUrl>
    <SharedWithUsers xmlns="9f250a92-4cb3-4475-b8ab-fbe3dd1bbf75">
      <UserInfo>
        <DisplayName>Enrico LoBianco (DEECA)</DisplayName>
        <AccountId>943</AccountId>
        <AccountType/>
      </UserInfo>
      <UserInfo>
        <DisplayName>Letitia J Neilson (DEECA)</DisplayName>
        <AccountId>1523</AccountId>
        <AccountType/>
      </UserInfo>
      <UserInfo>
        <DisplayName>Evangelia Moustogiannis (DEECA)</DisplayName>
        <AccountId>1217</AccountId>
        <AccountType/>
      </UserInfo>
    </SharedWithUsers>
    <lcf76f155ced4ddcb4097134ff3c332f xmlns="4bd58b96-cc7f-4c1b-801f-2bc3c6bd79dd">
      <Terms xmlns="http://schemas.microsoft.com/office/infopath/2007/PartnerControls"/>
    </lcf76f155ced4ddcb4097134ff3c332f>
    <Uploadedby xmlns="4bd58b96-cc7f-4c1b-801f-2bc3c6bd79dd" xsi:nil="true"/>
    <AppHub xmlns="4bd58b96-cc7f-4c1b-801f-2bc3c6bd79dd">false</AppHub>
    <_Flow_SignoffStatus xmlns="4bd58b96-cc7f-4c1b-801f-2bc3c6bd79dd" xsi:nil="true"/>
    <AmendmentStatus xmlns="4bd58b96-cc7f-4c1b-801f-2bc3c6bd79dd" xsi:nil="true"/>
    <Classification xmlns="4bd58b96-cc7f-4c1b-801f-2bc3c6bd79dd" xsi:nil="true"/>
    <DocumentStatus xmlns="4bd58b96-cc7f-4c1b-801f-2bc3c6bd79dd" xsi:nil="true"/>
    <Category xmlns="4bd58b96-cc7f-4c1b-801f-2bc3c6bd79dd" xsi:nil="true"/>
  </documentManagement>
</p:properti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12FE9EE-B056-44DD-A056-FF72CE564903}">
  <ds:schemaRefs>
    <ds:schemaRef ds:uri="Microsoft.SharePoint.Taxonomy.ContentTypeSync"/>
  </ds:schemaRefs>
</ds:datastoreItem>
</file>

<file path=customXml/itemProps2.xml><?xml version="1.0" encoding="utf-8"?>
<ds:datastoreItem xmlns:ds="http://schemas.openxmlformats.org/officeDocument/2006/customXml" ds:itemID="{62A22ABE-62C8-4BB1-BCA5-890E26F27FC1}">
  <ds:schemaRefs>
    <ds:schemaRef ds:uri="http://schemas.microsoft.com/sharepoint/v3/contenttype/forms"/>
  </ds:schemaRefs>
</ds:datastoreItem>
</file>

<file path=customXml/itemProps3.xml><?xml version="1.0" encoding="utf-8"?>
<ds:datastoreItem xmlns:ds="http://schemas.openxmlformats.org/officeDocument/2006/customXml" ds:itemID="{AA88533C-0BC8-4080-A402-EC2D29C83AC8}">
  <ds:schemaRefs>
    <ds:schemaRef ds:uri="http://schemas.microsoft.com/sharepoint/events"/>
  </ds:schemaRefs>
</ds:datastoreItem>
</file>

<file path=customXml/itemProps4.xml><?xml version="1.0" encoding="utf-8"?>
<ds:datastoreItem xmlns:ds="http://schemas.openxmlformats.org/officeDocument/2006/customXml" ds:itemID="{80E46D59-0682-4DAC-B08E-A44ECDEE9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18DBC6-2EFE-4C7A-9F70-61EAA1B07713}">
  <ds:schemaRefs>
    <ds:schemaRef ds:uri="http://www.w3.org/XML/1998/namespace"/>
    <ds:schemaRef ds:uri="http://schemas.microsoft.com/office/infopath/2007/PartnerControls"/>
    <ds:schemaRef ds:uri="a5f32de4-e402-4188-b034-e71ca7d22e54"/>
    <ds:schemaRef ds:uri="http://purl.org/dc/elements/1.1/"/>
    <ds:schemaRef ds:uri="http://purl.org/dc/terms/"/>
    <ds:schemaRef ds:uri="http://schemas.microsoft.com/office/2006/documentManagement/types"/>
    <ds:schemaRef ds:uri="4bd58b96-cc7f-4c1b-801f-2bc3c6bd79dd"/>
    <ds:schemaRef ds:uri="9f250a92-4cb3-4475-b8ab-fbe3dd1bbf75"/>
    <ds:schemaRef ds:uri="http://purl.org/dc/dcmitype/"/>
    <ds:schemaRef ds:uri="http://schemas.openxmlformats.org/package/2006/metadata/core-properties"/>
    <ds:schemaRef ds:uri="9fd47c19-1c4a-4d7d-b342-c10cef269344"/>
    <ds:schemaRef ds:uri="http://schemas.microsoft.com/office/2006/metadata/properties"/>
  </ds:schemaRefs>
</ds:datastoreItem>
</file>

<file path=customXml/itemProps6.xml><?xml version="1.0" encoding="utf-8"?>
<ds:datastoreItem xmlns:ds="http://schemas.openxmlformats.org/officeDocument/2006/customXml" ds:itemID="{069105C8-3C57-4E8C-9A1B-731B1AEC76AC}">
  <ds:schemaRefs>
    <ds:schemaRef ds:uri="http://www.w3.org/2001/XMLSchema"/>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Explanatory Report - Boroondara accessible version - 2023-09-14</Template>
  <TotalTime>237</TotalTime>
  <Pages>13</Pages>
  <Words>4350</Words>
  <Characters>24796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Explanatory Report</vt:lpstr>
    </vt:vector>
  </TitlesOfParts>
  <Company/>
  <LinksUpToDate>false</LinksUpToDate>
  <CharactersWithSpaces>29088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Report</dc:title>
  <dc:subject/>
  <dc:creator>Evangelia Moustogiannis (DELWP)</dc:creator>
  <cp:keywords/>
  <dc:description/>
  <cp:lastModifiedBy>Ken Griffiths</cp:lastModifiedBy>
  <cp:revision>25</cp:revision>
  <dcterms:created xsi:type="dcterms:W3CDTF">2024-10-17T22:11:00Z</dcterms:created>
  <dcterms:modified xsi:type="dcterms:W3CDTF">2024-10-23T02:36:00Z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Records Class Project">
    <vt:lpwstr>49;#Reference Materials|f95fc07f-4085-41de-ae1e-da9e571af2f5</vt:lpwstr>
  </property>
  <property fmtid="{D5CDD505-2E9C-101B-9397-08002B2CF9AE}" pid="4" name="Department Document Type">
    <vt:lpwstr>54;#Instruction|bd959bd7-f47f-4272-85c0-fe4839e53559</vt:lpwstr>
  </property>
  <property fmtid="{D5CDD505-2E9C-101B-9397-08002B2CF9AE}" pid="5" name="Dissemination Limiting Marker">
    <vt:lpwstr>2;#FOUO|955eb6fc-b35a-4808-8aa5-31e514fa3f26</vt:lpwstr>
  </property>
  <property fmtid="{D5CDD505-2E9C-101B-9397-08002B2CF9AE}" pid="6" name="Security Classification">
    <vt:lpwstr>3;#Unclassified|7fa379f4-4aba-4692-ab80-7d39d3a23cf4</vt:lpwstr>
  </property>
  <property fmtid="{D5CDD505-2E9C-101B-9397-08002B2CF9AE}" pid="7" name="Record Purpose">
    <vt:lpwstr/>
  </property>
  <property fmtid="{D5CDD505-2E9C-101B-9397-08002B2CF9AE}" pid="8" name="_dlc_DocIdItemGuid">
    <vt:lpwstr>bc908136-1501-43fb-974d-d73ead64f662</vt:lpwstr>
  </property>
  <property fmtid="{D5CDD505-2E9C-101B-9397-08002B2CF9AE}" pid="9" name="Order">
    <vt:r8>31800</vt:r8>
  </property>
  <property fmtid="{D5CDD505-2E9C-101B-9397-08002B2CF9AE}" pid="10" name="MSIP_Label_b92b7feb-b287-442c-a072-f385b02ec972_Enabled">
    <vt:lpwstr>true</vt:lpwstr>
  </property>
  <property fmtid="{D5CDD505-2E9C-101B-9397-08002B2CF9AE}" pid="11" name="MSIP_Label_b92b7feb-b287-442c-a072-f385b02ec972_SetDate">
    <vt:lpwstr>2023-10-30T00:36:12Z</vt:lpwstr>
  </property>
  <property fmtid="{D5CDD505-2E9C-101B-9397-08002B2CF9AE}" pid="12" name="MSIP_Label_b92b7feb-b287-442c-a072-f385b02ec972_Method">
    <vt:lpwstr>Privileged</vt:lpwstr>
  </property>
  <property fmtid="{D5CDD505-2E9C-101B-9397-08002B2CF9AE}" pid="13" name="MSIP_Label_b92b7feb-b287-442c-a072-f385b02ec972_Name">
    <vt:lpwstr>Unofficial</vt:lpwstr>
  </property>
  <property fmtid="{D5CDD505-2E9C-101B-9397-08002B2CF9AE}" pid="14" name="MSIP_Label_b92b7feb-b287-442c-a072-f385b02ec972_SiteId">
    <vt:lpwstr>e8bdd6f7-fc18-4e48-a554-7f547927223b</vt:lpwstr>
  </property>
  <property fmtid="{D5CDD505-2E9C-101B-9397-08002B2CF9AE}" pid="15" name="MSIP_Label_b92b7feb-b287-442c-a072-f385b02ec972_ActionId">
    <vt:lpwstr>581aa655-7e21-4b0e-9caa-f5d04496c3d9</vt:lpwstr>
  </property>
  <property fmtid="{D5CDD505-2E9C-101B-9397-08002B2CF9AE}" pid="16" name="MSIP_Label_b92b7feb-b287-442c-a072-f385b02ec972_ContentBits">
    <vt:lpwstr>2</vt:lpwstr>
  </property>
  <property fmtid="{D5CDD505-2E9C-101B-9397-08002B2CF9AE}" pid="17" name="MediaServiceImageTags">
    <vt:lpwstr/>
  </property>
</Properties>
</file>